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微软雅黑" w:hAnsi="微软雅黑" w:cs="微软雅黑"/>
          <w:sz w:val="52"/>
          <w:szCs w:val="52"/>
        </w:rPr>
      </w:pPr>
      <w:r>
        <w:rPr>
          <w:rFonts w:ascii="微软雅黑" w:hAnsi="微软雅黑" w:cs="微软雅黑"/>
          <w:sz w:val="52"/>
          <w:szCs w:val="52"/>
        </w:rPr>
      </w:r>
      <w:r/>
    </w:p>
    <w:p>
      <w:pPr>
        <w:rPr>
          <w:rFonts w:ascii="微软雅黑" w:hAnsi="微软雅黑" w:cs="微软雅黑"/>
          <w:sz w:val="52"/>
          <w:szCs w:val="52"/>
        </w:rPr>
      </w:pPr>
      <w:r>
        <w:rPr>
          <w:rFonts w:ascii="微软雅黑" w:hAnsi="微软雅黑" w:cs="微软雅黑"/>
          <w:sz w:val="52"/>
          <w:szCs w:val="52"/>
        </w:rPr>
      </w:r>
      <w:r/>
    </w:p>
    <w:p>
      <w:pPr>
        <w:jc w:val="center"/>
        <w:rPr>
          <w:rFonts w:ascii="微软雅黑" w:hAnsi="微软雅黑" w:cs="微软雅黑"/>
          <w:b/>
          <w:bCs/>
          <w:sz w:val="84"/>
          <w:szCs w:val="84"/>
        </w:rPr>
      </w:pPr>
      <w:r/>
      <w:bookmarkStart w:id="1" w:name="__第一章_公开招标公告"/>
      <w:r>
        <w:rPr>
          <w:rFonts w:hint="eastAsia" w:ascii="微软雅黑" w:hAnsi="微软雅黑" w:cs="微软雅黑"/>
          <w:sz w:val="84"/>
          <w:szCs w:val="84"/>
        </w:rPr>
        <w:t xml:space="preserve">采购文件</w:t>
      </w:r>
      <w:r/>
    </w:p>
    <w:p>
      <w:pPr>
        <w:jc w:val="center"/>
        <w:rPr>
          <w:rFonts w:ascii="微软雅黑" w:hAnsi="微软雅黑" w:cs="微软雅黑"/>
          <w:sz w:val="52"/>
          <w:szCs w:val="52"/>
        </w:rPr>
      </w:pPr>
      <w:r>
        <w:rPr>
          <w:rFonts w:hint="eastAsia" w:ascii="微软雅黑" w:hAnsi="微软雅黑" w:cs="微软雅黑"/>
          <w:sz w:val="52"/>
          <w:szCs w:val="52"/>
        </w:rPr>
        <w:t xml:space="preserve">（公开招标）</w:t>
      </w:r>
      <w:r/>
    </w:p>
    <w:p>
      <w:pPr>
        <w:rPr>
          <w:rStyle w:val="1418"/>
          <w:rFonts w:ascii="微软雅黑" w:hAnsi="微软雅黑" w:cs="微软雅黑"/>
          <w:color w:val="000000"/>
        </w:rPr>
      </w:pPr>
      <w:r>
        <w:rPr>
          <w:rFonts w:ascii="微软雅黑" w:hAnsi="微软雅黑" w:cs="微软雅黑"/>
          <w:color w:val="000000"/>
        </w:rPr>
      </w:r>
      <w:r/>
    </w:p>
    <w:p>
      <w:pPr>
        <w:jc w:val="left"/>
        <w:rPr>
          <w:rFonts w:ascii="微软雅黑" w:hAnsi="微软雅黑" w:cs="微软雅黑"/>
          <w:sz w:val="36"/>
        </w:rPr>
      </w:pPr>
      <w:r>
        <w:rPr>
          <w:rFonts w:ascii="微软雅黑" w:hAnsi="微软雅黑" w:cs="微软雅黑"/>
          <w:sz w:val="36"/>
        </w:rPr>
      </w:r>
      <w:r/>
    </w:p>
    <w:p>
      <w:pPr>
        <w:pStyle w:val="1366"/>
        <w:ind w:left="0"/>
      </w:pPr>
      <w:r/>
      <w:r/>
    </w:p>
    <w:p>
      <w:r/>
      <w:r/>
    </w:p>
    <w:p>
      <w:pPr>
        <w:jc w:val="left"/>
        <w:rPr>
          <w:rFonts w:ascii="微软雅黑" w:hAnsi="微软雅黑" w:cs="微软雅黑"/>
          <w:sz w:val="36"/>
        </w:rPr>
      </w:pPr>
      <w:r>
        <w:rPr>
          <w:rFonts w:ascii="微软雅黑" w:hAnsi="微软雅黑" w:cs="微软雅黑"/>
          <w:sz w:val="36"/>
        </w:rPr>
      </w:r>
      <w:r/>
    </w:p>
    <w:p>
      <w:pPr>
        <w:ind w:left="2340" w:hanging="1500"/>
        <w:jc w:val="left"/>
        <w:spacing w:before="120"/>
        <w:rPr>
          <w:rFonts w:ascii="微软雅黑" w:hAnsi="微软雅黑" w:cs="微软雅黑"/>
          <w:sz w:val="30"/>
          <w:szCs w:val="30"/>
        </w:rPr>
      </w:pPr>
      <w:r>
        <w:rPr>
          <w:rFonts w:hint="eastAsia" w:ascii="微软雅黑" w:hAnsi="微软雅黑" w:cs="微软雅黑"/>
          <w:sz w:val="30"/>
          <w:szCs w:val="30"/>
        </w:rPr>
        <w:t xml:space="preserve">项目编号：</w:t>
      </w:r>
      <w:r>
        <w:rPr>
          <w:rFonts w:hint="eastAsia" w:ascii="微软雅黑" w:hAnsi="微软雅黑" w:cs="微软雅黑"/>
          <w:color w:val="000000" w:themeColor="text1"/>
          <w:sz w:val="30"/>
          <w:szCs w:val="30"/>
          <w14:textFill>
            <w14:solidFill>
              <w14:schemeClr w14:val="tx1"/>
            </w14:solidFill>
          </w14:textFill>
        </w:rPr>
        <w:t xml:space="preserve">JSZC-320116-JSHC-G2026-0011</w:t>
      </w:r>
      <w:r/>
    </w:p>
    <w:p>
      <w:pPr>
        <w:ind w:left="2340" w:hanging="1500"/>
        <w:jc w:val="left"/>
        <w:spacing w:before="120"/>
        <w:rPr>
          <w:rFonts w:ascii="微软雅黑" w:hAnsi="微软雅黑" w:cs="微软雅黑"/>
          <w:sz w:val="30"/>
          <w:szCs w:val="30"/>
        </w:rPr>
      </w:pPr>
      <w:r>
        <w:rPr>
          <w:rFonts w:hint="eastAsia" w:ascii="微软雅黑" w:hAnsi="微软雅黑" w:cs="微软雅黑"/>
          <w:sz w:val="30"/>
          <w:szCs w:val="30"/>
        </w:rPr>
        <w:t xml:space="preserve">代理机构内部编号：JSHC-2026040202B2</w:t>
      </w:r>
      <w:r/>
    </w:p>
    <w:p>
      <w:pPr>
        <w:ind w:left="2340" w:hanging="1500"/>
        <w:jc w:val="left"/>
        <w:spacing w:before="120"/>
        <w:rPr>
          <w:rFonts w:ascii="微软雅黑" w:hAnsi="微软雅黑" w:cs="微软雅黑"/>
          <w:sz w:val="30"/>
          <w:szCs w:val="30"/>
        </w:rPr>
      </w:pPr>
      <w:r>
        <w:rPr>
          <w:rFonts w:hint="eastAsia" w:ascii="微软雅黑" w:hAnsi="微软雅黑" w:cs="微软雅黑"/>
          <w:sz w:val="30"/>
          <w:szCs w:val="30"/>
        </w:rPr>
        <w:t xml:space="preserve">项目名称：南京市六合区人民法院2026-2027年度食堂食材采购</w:t>
      </w:r>
      <w:r/>
    </w:p>
    <w:p>
      <w:pPr>
        <w:ind w:left="2340" w:hanging="1500"/>
        <w:jc w:val="left"/>
        <w:spacing w:before="120"/>
        <w:rPr>
          <w:rFonts w:ascii="微软雅黑" w:hAnsi="微软雅黑" w:cs="微软雅黑"/>
          <w:sz w:val="30"/>
          <w:szCs w:val="30"/>
        </w:rPr>
      </w:pPr>
      <w:r>
        <w:rPr>
          <w:rFonts w:hint="eastAsia" w:ascii="微软雅黑" w:hAnsi="微软雅黑" w:cs="微软雅黑"/>
          <w:sz w:val="30"/>
          <w:szCs w:val="30"/>
        </w:rPr>
        <w:t xml:space="preserve">采 购 人：南京市六合区人民法院</w:t>
      </w:r>
      <w:r/>
    </w:p>
    <w:p>
      <w:pPr>
        <w:ind w:left="2340" w:hanging="1500"/>
        <w:jc w:val="left"/>
        <w:spacing w:before="120"/>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p>
    <w:p>
      <w:pPr>
        <w:ind w:left="2580" w:hanging="2580"/>
        <w:jc w:val="center"/>
        <w:rPr>
          <w:rFonts w:ascii="微软雅黑" w:hAnsi="微软雅黑" w:cs="微软雅黑"/>
          <w:sz w:val="30"/>
          <w:szCs w:val="30"/>
        </w:rPr>
      </w:pPr>
      <w:r>
        <w:rPr>
          <w:rFonts w:ascii="微软雅黑" w:hAnsi="微软雅黑" w:cs="微软雅黑"/>
          <w:sz w:val="30"/>
          <w:szCs w:val="30"/>
        </w:rPr>
      </w:r>
      <w:r/>
    </w:p>
    <w:p>
      <w:pPr>
        <w:pStyle w:val="1366"/>
        <w:ind w:left="1260"/>
      </w:pPr>
      <w:r/>
      <w:r/>
    </w:p>
    <w:p>
      <w:r/>
      <w:r/>
    </w:p>
    <w:p>
      <w:r/>
      <w:r/>
    </w:p>
    <w:p>
      <w:r/>
      <w:r/>
    </w:p>
    <w:p>
      <w:r/>
      <w:r/>
    </w:p>
    <w:p>
      <w:r/>
      <w:r/>
    </w:p>
    <w:p>
      <w:r/>
      <w:r/>
    </w:p>
    <w:p>
      <w:r/>
      <w:r/>
    </w:p>
    <w:p>
      <w:pPr>
        <w:pStyle w:val="1366"/>
        <w:ind w:left="1260"/>
      </w:pPr>
      <w:r/>
      <w:r/>
    </w:p>
    <w:p>
      <w:pPr>
        <w:pStyle w:val="1366"/>
        <w:ind w:left="0"/>
      </w:pPr>
      <w:r/>
      <w:r/>
    </w:p>
    <w:p>
      <w:pPr>
        <w:jc w:val="center"/>
        <w:rPr>
          <w:rFonts w:ascii="微软雅黑" w:hAnsi="微软雅黑" w:cs="微软雅黑"/>
          <w:sz w:val="30"/>
          <w:szCs w:val="30"/>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2026年05月</w:t>
      </w:r>
      <w:r/>
    </w:p>
    <w:p>
      <w:pPr>
        <w:jc w:val="center"/>
        <w:spacing w:line="400" w:lineRule="exact"/>
        <w:rPr>
          <w:rFonts w:ascii="微软雅黑" w:hAnsi="微软雅黑" w:cs="微软雅黑"/>
          <w:b/>
          <w:bCs/>
          <w:sz w:val="30"/>
          <w:szCs w:val="30"/>
        </w:rPr>
      </w:pPr>
      <w:r>
        <w:rPr>
          <w:rFonts w:hint="eastAsia" w:ascii="微软雅黑" w:hAnsi="微软雅黑" w:cs="微软雅黑"/>
          <w:b/>
          <w:bCs/>
          <w:sz w:val="30"/>
          <w:szCs w:val="30"/>
        </w:rPr>
        <w:t xml:space="preserve">目录</w:t>
      </w:r>
      <w:r/>
    </w:p>
    <w:p>
      <w:pPr>
        <w:pStyle w:val="1157"/>
        <w:tabs>
          <w:tab w:val="right" w:pos="8300" w:leader="dot"/>
        </w:tabs>
        <w:rPr>
          <w:rStyle w:val="1398"/>
          <w:rFonts w:ascii="微软雅黑" w:hAnsi="微软雅黑" w:cs="微软雅黑"/>
        </w:rPr>
      </w:pPr>
      <w:r>
        <w:rPr>
          <w:rFonts w:hint="eastAsia"/>
        </w:rPr>
        <w:fldChar w:fldCharType="begin"/>
      </w:r>
      <w:r>
        <w:rPr>
          <w:rFonts w:hint="eastAsia"/>
        </w:rPr>
        <w:instrText xml:space="preserve">TOC \o "1-3" \h \u </w:instrText>
      </w:r>
      <w:r>
        <w:rPr>
          <w:rFonts w:hint="eastAsia"/>
        </w:rPr>
        <w:fldChar w:fldCharType="separate"/>
      </w:r>
      <w:r>
        <w:rPr>
          <w:rFonts w:ascii="微软雅黑" w:hAnsi="微软雅黑" w:cs="微软雅黑"/>
        </w:rPr>
      </w:r>
      <w:hyperlink w:tooltip="#_Toc1" w:anchor="_Toc1" w:history="1">
        <w:r>
          <w:rPr>
            <w:rStyle w:val="1189"/>
          </w:rPr>
        </w:r>
        <w:r>
          <w:rPr>
            <w:rStyle w:val="1189"/>
            <w:rFonts w:hint="eastAsia" w:ascii="微软雅黑" w:hAnsi="微软雅黑" w:cs="微软雅黑"/>
          </w:rPr>
          <w:t xml:space="preserve">第一章 投标邀请（采购公告</w:t>
        </w:r>
        <w:r>
          <w:rPr>
            <w:rStyle w:val="1189"/>
            <w:rFonts w:hint="eastAsia" w:ascii="微软雅黑" w:hAnsi="微软雅黑" w:cs="微软雅黑"/>
          </w:rPr>
          <w:t xml:space="preserve">）</w:t>
        </w:r>
        <w:r>
          <w:rPr>
            <w:rStyle w:val="1189"/>
          </w:rPr>
        </w:r>
        <w:r>
          <w:tab/>
        </w:r>
        <w:r>
          <w:fldChar w:fldCharType="begin"/>
          <w:instrText xml:space="preserve">PAGEREF _Toc1 \h</w:instrText>
          <w:fldChar w:fldCharType="separate"/>
          <w:t xml:space="preserve">4</w:t>
          <w:fldChar w:fldCharType="end"/>
        </w:r>
      </w:hyperlink>
      <w:r>
        <w:rPr>
          <w:rStyle w:val="1398"/>
          <w:rFonts w:ascii="微软雅黑" w:hAnsi="微软雅黑" w:cs="微软雅黑"/>
        </w:rPr>
      </w:r>
      <w:r/>
    </w:p>
    <w:p>
      <w:pPr>
        <w:pStyle w:val="1157"/>
        <w:tabs>
          <w:tab w:val="right" w:pos="8300" w:leader="dot"/>
        </w:tabs>
        <w:rPr>
          <w:rFonts w:ascii="微软雅黑" w:hAnsi="微软雅黑" w:cs="微软雅黑"/>
        </w:rPr>
      </w:pPr>
      <w:r/>
      <w:hyperlink w:tooltip="#_Toc2" w:anchor="_Toc2" w:history="1">
        <w:r>
          <w:rPr>
            <w:rStyle w:val="1189"/>
          </w:rPr>
        </w:r>
        <w:r>
          <w:rPr>
            <w:rStyle w:val="1189"/>
            <w:rFonts w:hint="eastAsia" w:ascii="微软雅黑" w:hAnsi="微软雅黑" w:cs="微软雅黑"/>
          </w:rPr>
          <w:t xml:space="preserve">第二章 </w:t>
        </w:r>
        <w:r>
          <w:rPr>
            <w:rStyle w:val="1189"/>
            <w:rFonts w:hint="eastAsia" w:ascii="微软雅黑" w:hAnsi="微软雅黑" w:cs="微软雅黑"/>
          </w:rPr>
          <w:t xml:space="preserve">供应商须知</w:t>
        </w:r>
        <w:r>
          <w:rPr>
            <w:rStyle w:val="1189"/>
          </w:rPr>
        </w:r>
        <w:r>
          <w:tab/>
        </w:r>
        <w:r>
          <w:fldChar w:fldCharType="begin"/>
          <w:instrText xml:space="preserve">PAGEREF _Toc2 \h</w:instrText>
          <w:fldChar w:fldCharType="separate"/>
          <w:t xml:space="preserve">7</w:t>
          <w:fldChar w:fldCharType="end"/>
        </w:r>
      </w:hyperlink>
      <w:r>
        <w:rPr>
          <w:rFonts w:ascii="微软雅黑" w:hAnsi="微软雅黑" w:cs="微软雅黑"/>
        </w:rPr>
      </w:r>
      <w:r/>
    </w:p>
    <w:p>
      <w:pPr>
        <w:pStyle w:val="1181"/>
        <w:tabs>
          <w:tab w:val="right" w:pos="8300" w:leader="dot"/>
        </w:tabs>
        <w:rPr>
          <w:rFonts w:ascii="微软雅黑" w:hAnsi="微软雅黑" w:cs="微软雅黑"/>
        </w:rPr>
      </w:pPr>
      <w:r/>
      <w:hyperlink w:tooltip="#_Toc3" w:anchor="_Toc3" w:history="1">
        <w:r>
          <w:rPr>
            <w:rStyle w:val="1189"/>
          </w:rPr>
        </w:r>
        <w:r>
          <w:rPr>
            <w:rStyle w:val="1189"/>
            <w:rFonts w:hint="eastAsia" w:ascii="微软雅黑" w:hAnsi="微软雅黑" w:cs="微软雅黑"/>
          </w:rPr>
          <w:t xml:space="preserve">一、总则</w:t>
        </w:r>
        <w:r>
          <w:rPr>
            <w:rStyle w:val="1189"/>
          </w:rPr>
        </w:r>
        <w:r>
          <w:tab/>
        </w:r>
        <w:r>
          <w:fldChar w:fldCharType="begin"/>
          <w:instrText xml:space="preserve">PAGEREF _Toc3 \h</w:instrText>
          <w:fldChar w:fldCharType="separate"/>
          <w:t xml:space="preserve">9</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4" w:anchor="_Toc4" w:history="1">
        <w:r>
          <w:rPr>
            <w:rStyle w:val="1189"/>
          </w:rPr>
        </w:r>
        <w:r>
          <w:rPr>
            <w:rStyle w:val="1189"/>
            <w:rFonts w:hint="eastAsia" w:ascii="微软雅黑" w:hAnsi="微软雅黑" w:cs="微软雅黑"/>
          </w:rPr>
          <w:t xml:space="preserve">1.1适用范围</w:t>
        </w:r>
        <w:r>
          <w:rPr>
            <w:rStyle w:val="1189"/>
          </w:rPr>
        </w:r>
        <w:r>
          <w:tab/>
        </w:r>
        <w:r>
          <w:fldChar w:fldCharType="begin"/>
          <w:instrText xml:space="preserve">PAGEREF _Toc4 \h</w:instrText>
          <w:fldChar w:fldCharType="separate"/>
          <w:t xml:space="preserve">9</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5" w:anchor="_Toc5" w:history="1">
        <w:r>
          <w:rPr>
            <w:rStyle w:val="1189"/>
          </w:rPr>
        </w:r>
        <w:r>
          <w:rPr>
            <w:rStyle w:val="1189"/>
            <w:rFonts w:hint="eastAsia" w:ascii="微软雅黑" w:hAnsi="微软雅黑" w:cs="微软雅黑"/>
          </w:rPr>
          <w:t xml:space="preserve">1.2合格的</w:t>
        </w:r>
        <w:r>
          <w:rPr>
            <w:rStyle w:val="1189"/>
            <w:rFonts w:hint="eastAsia" w:ascii="微软雅黑" w:hAnsi="微软雅黑" w:cs="微软雅黑"/>
          </w:rPr>
          <w:t xml:space="preserve">供应商</w:t>
        </w:r>
        <w:r>
          <w:rPr>
            <w:rStyle w:val="1189"/>
          </w:rPr>
        </w:r>
        <w:r>
          <w:tab/>
        </w:r>
        <w:r>
          <w:fldChar w:fldCharType="begin"/>
          <w:instrText xml:space="preserve">PAGEREF _Toc5 \h</w:instrText>
          <w:fldChar w:fldCharType="separate"/>
          <w:t xml:space="preserve">9</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6" w:anchor="_Toc6" w:history="1">
        <w:r>
          <w:rPr>
            <w:rStyle w:val="1189"/>
          </w:rPr>
        </w:r>
        <w:r>
          <w:rPr>
            <w:rStyle w:val="1189"/>
            <w:rFonts w:hint="eastAsia" w:ascii="微软雅黑" w:hAnsi="微软雅黑" w:cs="微软雅黑"/>
          </w:rPr>
          <w:t xml:space="preserve">1.3</w:t>
        </w:r>
        <w:r>
          <w:rPr>
            <w:rStyle w:val="1189"/>
            <w:rFonts w:hint="eastAsia" w:ascii="微软雅黑" w:hAnsi="微软雅黑" w:cs="微软雅黑"/>
          </w:rPr>
          <w:t xml:space="preserve">参加采购活动费用</w:t>
        </w:r>
        <w:r>
          <w:rPr>
            <w:rStyle w:val="1189"/>
          </w:rPr>
        </w:r>
        <w:r>
          <w:tab/>
        </w:r>
        <w:r>
          <w:fldChar w:fldCharType="begin"/>
          <w:instrText xml:space="preserve">PAGEREF _Toc6 \h</w:instrText>
          <w:fldChar w:fldCharType="separate"/>
          <w:t xml:space="preserve">9</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7" w:anchor="_Toc7" w:history="1">
        <w:r>
          <w:rPr>
            <w:rStyle w:val="1189"/>
          </w:rPr>
        </w:r>
        <w:r>
          <w:rPr>
            <w:rStyle w:val="1189"/>
            <w:rFonts w:hint="eastAsia" w:ascii="微软雅黑" w:hAnsi="微软雅黑" w:cs="微软雅黑"/>
          </w:rPr>
          <w:t xml:space="preserve">1.4法律适用</w:t>
        </w:r>
        <w:r>
          <w:rPr>
            <w:rStyle w:val="1189"/>
          </w:rPr>
        </w:r>
        <w:r>
          <w:tab/>
        </w:r>
        <w:r>
          <w:fldChar w:fldCharType="begin"/>
          <w:instrText xml:space="preserve">PAGEREF _Toc7 \h</w:instrText>
          <w:fldChar w:fldCharType="separate"/>
          <w:t xml:space="preserve">9</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8" w:anchor="_Toc8" w:history="1">
        <w:r>
          <w:rPr>
            <w:rStyle w:val="1189"/>
          </w:rPr>
        </w:r>
        <w:r>
          <w:rPr>
            <w:rStyle w:val="1189"/>
            <w:rFonts w:hint="eastAsia" w:ascii="微软雅黑" w:hAnsi="微软雅黑" w:cs="微软雅黑"/>
          </w:rPr>
          <w:t xml:space="preserve">1.5采购文件的约束力</w:t>
        </w:r>
        <w:r>
          <w:rPr>
            <w:rStyle w:val="1189"/>
          </w:rPr>
        </w:r>
        <w:r>
          <w:tab/>
        </w:r>
        <w:r>
          <w:fldChar w:fldCharType="begin"/>
          <w:instrText xml:space="preserve">PAGEREF _Toc8 \h</w:instrText>
          <w:fldChar w:fldCharType="separate"/>
          <w:t xml:space="preserve">9</w:t>
          <w:fldChar w:fldCharType="end"/>
        </w:r>
      </w:hyperlink>
      <w:r>
        <w:rPr>
          <w:rFonts w:ascii="微软雅黑" w:hAnsi="微软雅黑" w:cs="微软雅黑"/>
        </w:rPr>
      </w:r>
      <w:r/>
    </w:p>
    <w:p>
      <w:pPr>
        <w:pStyle w:val="1181"/>
        <w:tabs>
          <w:tab w:val="right" w:pos="8300" w:leader="dot"/>
        </w:tabs>
        <w:rPr>
          <w:rFonts w:ascii="微软雅黑" w:hAnsi="微软雅黑" w:cs="微软雅黑"/>
        </w:rPr>
      </w:pPr>
      <w:r/>
      <w:hyperlink w:tooltip="#_Toc9" w:anchor="_Toc9" w:history="1">
        <w:r>
          <w:rPr>
            <w:rStyle w:val="1189"/>
          </w:rPr>
        </w:r>
        <w:r>
          <w:rPr>
            <w:rStyle w:val="1189"/>
            <w:rFonts w:hint="eastAsia" w:ascii="微软雅黑" w:hAnsi="微软雅黑" w:cs="微软雅黑"/>
          </w:rPr>
          <w:t xml:space="preserve">二、采购文件</w:t>
        </w:r>
        <w:r>
          <w:rPr>
            <w:rStyle w:val="1189"/>
          </w:rPr>
        </w:r>
        <w:r>
          <w:tab/>
        </w:r>
        <w:r>
          <w:fldChar w:fldCharType="begin"/>
          <w:instrText xml:space="preserve">PAGEREF _Toc9 \h</w:instrText>
          <w:fldChar w:fldCharType="separate"/>
          <w:t xml:space="preserve">10</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0" w:anchor="_Toc10" w:history="1">
        <w:r>
          <w:rPr>
            <w:rStyle w:val="1189"/>
          </w:rPr>
        </w:r>
        <w:r>
          <w:rPr>
            <w:rStyle w:val="1189"/>
            <w:rFonts w:hint="eastAsia" w:ascii="微软雅黑" w:hAnsi="微软雅黑" w:cs="微软雅黑"/>
          </w:rPr>
          <w:t xml:space="preserve">2.1采购文件的组成</w:t>
        </w:r>
        <w:r>
          <w:rPr>
            <w:rStyle w:val="1189"/>
          </w:rPr>
        </w:r>
        <w:r>
          <w:tab/>
        </w:r>
        <w:r>
          <w:fldChar w:fldCharType="begin"/>
          <w:instrText xml:space="preserve">PAGEREF _Toc10 \h</w:instrText>
          <w:fldChar w:fldCharType="separate"/>
          <w:t xml:space="preserve">10</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1" w:anchor="_Toc11" w:history="1">
        <w:r>
          <w:rPr>
            <w:rStyle w:val="1189"/>
          </w:rPr>
        </w:r>
        <w:r>
          <w:rPr>
            <w:rStyle w:val="1189"/>
            <w:rFonts w:hint="eastAsia" w:ascii="微软雅黑" w:hAnsi="微软雅黑" w:cs="微软雅黑"/>
          </w:rPr>
          <w:t xml:space="preserve">2.2采购文件的更正或补充</w:t>
        </w:r>
        <w:r>
          <w:rPr>
            <w:rStyle w:val="1189"/>
          </w:rPr>
        </w:r>
        <w:r>
          <w:tab/>
        </w:r>
        <w:r>
          <w:fldChar w:fldCharType="begin"/>
          <w:instrText xml:space="preserve">PAGEREF _Toc11 \h</w:instrText>
          <w:fldChar w:fldCharType="separate"/>
          <w:t xml:space="preserve">10</w:t>
          <w:fldChar w:fldCharType="end"/>
        </w:r>
      </w:hyperlink>
      <w:r>
        <w:rPr>
          <w:rFonts w:ascii="微软雅黑" w:hAnsi="微软雅黑" w:cs="微软雅黑"/>
        </w:rPr>
      </w:r>
      <w:r/>
    </w:p>
    <w:p>
      <w:pPr>
        <w:pStyle w:val="1181"/>
        <w:tabs>
          <w:tab w:val="right" w:pos="8300" w:leader="dot"/>
        </w:tabs>
        <w:rPr>
          <w:rFonts w:ascii="微软雅黑" w:hAnsi="微软雅黑" w:cs="微软雅黑"/>
        </w:rPr>
      </w:pPr>
      <w:r/>
      <w:hyperlink w:tooltip="#_Toc12" w:anchor="_Toc12" w:history="1">
        <w:r>
          <w:rPr>
            <w:rStyle w:val="1189"/>
          </w:rPr>
        </w:r>
        <w:r>
          <w:rPr>
            <w:rStyle w:val="1189"/>
            <w:rFonts w:hint="eastAsia" w:ascii="微软雅黑" w:hAnsi="微软雅黑" w:cs="微软雅黑"/>
          </w:rPr>
          <w:t xml:space="preserve">三、投标文件</w:t>
        </w:r>
        <w:r>
          <w:rPr>
            <w:rStyle w:val="1189"/>
          </w:rPr>
        </w:r>
        <w:r>
          <w:tab/>
        </w:r>
        <w:r>
          <w:fldChar w:fldCharType="begin"/>
          <w:instrText xml:space="preserve">PAGEREF _Toc12 \h</w:instrText>
          <w:fldChar w:fldCharType="separate"/>
          <w:t xml:space="preserve">10</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3" w:anchor="_Toc13" w:history="1">
        <w:r>
          <w:rPr>
            <w:rStyle w:val="1189"/>
          </w:rPr>
        </w:r>
        <w:r>
          <w:rPr>
            <w:rStyle w:val="1189"/>
            <w:rFonts w:hint="eastAsia" w:ascii="微软雅黑" w:hAnsi="微软雅黑" w:cs="微软雅黑"/>
          </w:rPr>
          <w:t xml:space="preserve">3.1投标文件的语言及度量衡</w:t>
        </w:r>
        <w:r>
          <w:rPr>
            <w:rStyle w:val="1189"/>
          </w:rPr>
        </w:r>
        <w:r>
          <w:tab/>
        </w:r>
        <w:r>
          <w:fldChar w:fldCharType="begin"/>
          <w:instrText xml:space="preserve">PAGEREF _Toc13 \h</w:instrText>
          <w:fldChar w:fldCharType="separate"/>
          <w:t xml:space="preserve">10</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4" w:anchor="_Toc14" w:history="1">
        <w:r>
          <w:rPr>
            <w:rStyle w:val="1189"/>
          </w:rPr>
        </w:r>
        <w:r>
          <w:rPr>
            <w:rStyle w:val="1189"/>
            <w:rFonts w:hint="eastAsia" w:ascii="微软雅黑" w:hAnsi="微软雅黑" w:cs="微软雅黑"/>
          </w:rPr>
          <w:t xml:space="preserve">3.2投标文件的组成</w:t>
        </w:r>
        <w:r>
          <w:rPr>
            <w:rStyle w:val="1189"/>
          </w:rPr>
        </w:r>
        <w:r>
          <w:tab/>
        </w:r>
        <w:r>
          <w:fldChar w:fldCharType="begin"/>
          <w:instrText xml:space="preserve">PAGEREF _Toc14 \h</w:instrText>
          <w:fldChar w:fldCharType="separate"/>
          <w:t xml:space="preserve">11</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5" w:anchor="_Toc15" w:history="1">
        <w:r>
          <w:rPr>
            <w:rStyle w:val="1189"/>
          </w:rPr>
        </w:r>
        <w:r>
          <w:rPr>
            <w:rStyle w:val="1189"/>
            <w:rFonts w:hint="eastAsia" w:ascii="微软雅黑" w:hAnsi="微软雅黑" w:cs="微软雅黑"/>
          </w:rPr>
          <w:t xml:space="preserve">3.3投标报价</w:t>
        </w:r>
        <w:r>
          <w:rPr>
            <w:rStyle w:val="1189"/>
          </w:rPr>
        </w:r>
        <w:r>
          <w:tab/>
        </w:r>
        <w:r>
          <w:fldChar w:fldCharType="begin"/>
          <w:instrText xml:space="preserve">PAGEREF _Toc15 \h</w:instrText>
          <w:fldChar w:fldCharType="separate"/>
          <w:t xml:space="preserve">11</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6" w:anchor="_Toc16" w:history="1">
        <w:r>
          <w:rPr>
            <w:rStyle w:val="1189"/>
          </w:rPr>
        </w:r>
        <w:r>
          <w:rPr>
            <w:rStyle w:val="1189"/>
            <w:rFonts w:hint="eastAsia" w:ascii="微软雅黑" w:hAnsi="微软雅黑" w:cs="微软雅黑"/>
          </w:rPr>
          <w:t xml:space="preserve">3.4投标报价中的货币</w:t>
        </w:r>
        <w:r>
          <w:rPr>
            <w:rStyle w:val="1189"/>
          </w:rPr>
        </w:r>
        <w:r>
          <w:tab/>
        </w:r>
        <w:r>
          <w:fldChar w:fldCharType="begin"/>
          <w:instrText xml:space="preserve">PAGEREF _Toc16 \h</w:instrText>
          <w:fldChar w:fldCharType="separate"/>
          <w:t xml:space="preserve">11</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7" w:anchor="_Toc17" w:history="1">
        <w:r>
          <w:rPr>
            <w:rStyle w:val="1189"/>
          </w:rPr>
        </w:r>
        <w:r>
          <w:rPr>
            <w:rStyle w:val="1189"/>
            <w:rFonts w:hint="eastAsia" w:ascii="微软雅黑" w:hAnsi="微软雅黑" w:cs="微软雅黑"/>
          </w:rPr>
          <w:t xml:space="preserve">3.5投标保证金</w:t>
        </w:r>
        <w:r>
          <w:rPr>
            <w:rStyle w:val="1189"/>
            <w:rFonts w:hint="eastAsia" w:ascii="微软雅黑" w:hAnsi="微软雅黑" w:cs="微软雅黑"/>
          </w:rPr>
          <w:t xml:space="preserve">：无</w:t>
        </w:r>
        <w:r>
          <w:rPr>
            <w:rStyle w:val="1189"/>
          </w:rPr>
        </w:r>
        <w:r>
          <w:tab/>
        </w:r>
        <w:r>
          <w:fldChar w:fldCharType="begin"/>
          <w:instrText xml:space="preserve">PAGEREF _Toc17 \h</w:instrText>
          <w:fldChar w:fldCharType="separate"/>
          <w:t xml:space="preserve">11</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8" w:anchor="_Toc18" w:history="1">
        <w:r>
          <w:rPr>
            <w:rStyle w:val="1189"/>
          </w:rPr>
        </w:r>
        <w:r>
          <w:rPr>
            <w:rStyle w:val="1189"/>
            <w:rFonts w:hint="eastAsia" w:ascii="微软雅黑" w:hAnsi="微软雅黑" w:cs="微软雅黑"/>
          </w:rPr>
          <w:t xml:space="preserve">3.6投标有效期</w:t>
        </w:r>
        <w:r>
          <w:rPr>
            <w:rStyle w:val="1189"/>
          </w:rPr>
        </w:r>
        <w:r>
          <w:tab/>
        </w:r>
        <w:r>
          <w:fldChar w:fldCharType="begin"/>
          <w:instrText xml:space="preserve">PAGEREF _Toc18 \h</w:instrText>
          <w:fldChar w:fldCharType="separate"/>
          <w:t xml:space="preserve">11</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19" w:anchor="_Toc19" w:history="1">
        <w:r>
          <w:rPr>
            <w:rStyle w:val="1189"/>
          </w:rPr>
        </w:r>
        <w:r>
          <w:rPr>
            <w:rStyle w:val="1189"/>
            <w:rFonts w:hint="eastAsia" w:ascii="微软雅黑" w:hAnsi="微软雅黑" w:cs="微软雅黑"/>
          </w:rPr>
          <w:t xml:space="preserve">3.7投标文件的签署、形式及装订</w:t>
        </w:r>
        <w:r>
          <w:rPr>
            <w:rStyle w:val="1189"/>
          </w:rPr>
        </w:r>
        <w:r>
          <w:tab/>
        </w:r>
        <w:r>
          <w:fldChar w:fldCharType="begin"/>
          <w:instrText xml:space="preserve">PAGEREF _Toc19 \h</w:instrText>
          <w:fldChar w:fldCharType="separate"/>
          <w:t xml:space="preserve">11</w:t>
          <w:fldChar w:fldCharType="end"/>
        </w:r>
      </w:hyperlink>
      <w:r>
        <w:rPr>
          <w:rFonts w:ascii="微软雅黑" w:hAnsi="微软雅黑" w:cs="微软雅黑"/>
        </w:rPr>
      </w:r>
      <w:r/>
    </w:p>
    <w:p>
      <w:pPr>
        <w:pStyle w:val="1181"/>
        <w:tabs>
          <w:tab w:val="right" w:pos="8300" w:leader="dot"/>
        </w:tabs>
        <w:rPr>
          <w:rFonts w:ascii="微软雅黑" w:hAnsi="微软雅黑" w:cs="微软雅黑"/>
        </w:rPr>
      </w:pPr>
      <w:r/>
      <w:hyperlink w:tooltip="#_Toc20" w:anchor="_Toc20" w:history="1">
        <w:r>
          <w:rPr>
            <w:rStyle w:val="1189"/>
          </w:rPr>
        </w:r>
        <w:r>
          <w:rPr>
            <w:rStyle w:val="1189"/>
            <w:rFonts w:hint="eastAsia" w:ascii="微软雅黑" w:hAnsi="微软雅黑" w:cs="微软雅黑"/>
          </w:rPr>
          <w:t xml:space="preserve">四、投标文件的递交</w:t>
        </w:r>
        <w:r>
          <w:rPr>
            <w:rStyle w:val="1189"/>
          </w:rPr>
        </w:r>
        <w:r>
          <w:tab/>
        </w:r>
        <w:r>
          <w:fldChar w:fldCharType="begin"/>
          <w:instrText xml:space="preserve">PAGEREF _Toc20 \h</w:instrText>
          <w:fldChar w:fldCharType="separate"/>
          <w:t xml:space="preserve">12</w:t>
          <w:fldChar w:fldCharType="end"/>
        </w:r>
      </w:hyperlink>
      <w:r>
        <w:rPr>
          <w:rFonts w:ascii="微软雅黑" w:hAnsi="微软雅黑" w:cs="微软雅黑"/>
        </w:rPr>
      </w:r>
      <w:r/>
    </w:p>
    <w:p>
      <w:pPr>
        <w:pStyle w:val="1169"/>
        <w:tabs>
          <w:tab w:val="right" w:pos="8300" w:leader="dot"/>
        </w:tabs>
        <w:rPr>
          <w:rFonts w:ascii="微软雅黑" w:hAnsi="微软雅黑" w:eastAsia="微软雅黑" w:cs="微软雅黑"/>
          <w:b/>
        </w:rPr>
      </w:pPr>
      <w:r/>
      <w:hyperlink w:tooltip="#_Toc21" w:anchor="_Toc21" w:history="1">
        <w:r>
          <w:rPr>
            <w:rStyle w:val="1189"/>
          </w:rPr>
        </w:r>
        <w:r>
          <w:rPr>
            <w:rStyle w:val="1189"/>
            <w:rFonts w:hint="eastAsia" w:ascii="微软雅黑" w:hAnsi="微软雅黑" w:eastAsia="微软雅黑" w:cs="微软雅黑"/>
            <w:b/>
          </w:rPr>
          <w:t xml:space="preserve">4.2有下列情形的投标文件将被拒收</w:t>
        </w:r>
        <w:r>
          <w:rPr>
            <w:rStyle w:val="1189"/>
          </w:rPr>
        </w:r>
        <w:r>
          <w:tab/>
        </w:r>
        <w:r>
          <w:fldChar w:fldCharType="begin"/>
          <w:instrText xml:space="preserve">PAGEREF _Toc21 \h</w:instrText>
          <w:fldChar w:fldCharType="separate"/>
          <w:t xml:space="preserve">12</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22" w:anchor="_Toc22" w:history="1">
        <w:r>
          <w:rPr>
            <w:rStyle w:val="1189"/>
          </w:rPr>
        </w:r>
        <w:r>
          <w:rPr>
            <w:rStyle w:val="1189"/>
            <w:rFonts w:hint="eastAsia" w:ascii="微软雅黑" w:hAnsi="微软雅黑" w:eastAsia="微软雅黑" w:cs="微软雅黑"/>
            <w:b/>
          </w:rPr>
          <w:t xml:space="preserve">4.2.1投标人未按照《操作手册》规定，在“苏采云”系统规定的时间内对投标文件进行解密的。</w:t>
        </w:r>
        <w:r>
          <w:rPr>
            <w:rStyle w:val="1189"/>
          </w:rPr>
        </w:r>
        <w:r>
          <w:tab/>
        </w:r>
        <w:r>
          <w:fldChar w:fldCharType="begin"/>
          <w:instrText xml:space="preserve">PAGEREF _Toc22 \h</w:instrText>
          <w:fldChar w:fldCharType="separate"/>
          <w:t xml:space="preserve">12</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23" w:anchor="_Toc23" w:history="1">
        <w:r>
          <w:rPr>
            <w:rStyle w:val="1189"/>
          </w:rPr>
        </w:r>
        <w:r>
          <w:rPr>
            <w:rStyle w:val="1189"/>
            <w:rFonts w:hint="eastAsia" w:ascii="微软雅黑" w:hAnsi="微软雅黑" w:eastAsia="微软雅黑" w:cs="微软雅黑"/>
            <w:b/>
          </w:rPr>
          <w:t xml:space="preserve">4.2.2投标人应充分考虑网络环境、网络带宽等因素可能对投标产生的影响，如因投标人自身原因造成的电子投标文件解密不成功的，做无效投标处理</w:t>
        </w:r>
        <w:r>
          <w:rPr>
            <w:rStyle w:val="1189"/>
            <w:rFonts w:hint="eastAsia" w:ascii="微软雅黑" w:hAnsi="微软雅黑" w:eastAsia="微软雅黑" w:cs="微软雅黑"/>
            <w:b/>
          </w:rPr>
          <w:t xml:space="preserve">,</w:t>
        </w:r>
        <w:r>
          <w:rPr>
            <w:rStyle w:val="1189"/>
            <w:rFonts w:ascii="微软雅黑" w:hAnsi="微软雅黑" w:eastAsia="微软雅黑" w:cs="微软雅黑"/>
            <w:shd w:val="clear" w:color="auto" w:fill="ffffff"/>
          </w:rPr>
          <w:t xml:space="preserve">但因系统故障导致投标人无法在</w:t>
        </w:r>
        <w:r>
          <w:rPr>
            <w:rStyle w:val="1189"/>
            <w:rFonts w:hint="eastAsia" w:ascii="微软雅黑" w:hAnsi="微软雅黑" w:eastAsia="微软雅黑" w:cs="微软雅黑"/>
            <w:bCs/>
          </w:rPr>
          <w:t xml:space="preserve">“苏采云”系统规定的时间</w:t>
        </w:r>
        <w:r>
          <w:rPr>
            <w:rStyle w:val="1189"/>
            <w:rFonts w:ascii="微软雅黑" w:hAnsi="微软雅黑" w:eastAsia="微软雅黑" w:cs="微软雅黑"/>
            <w:shd w:val="clear" w:color="auto" w:fill="ffffff"/>
          </w:rPr>
          <w:t xml:space="preserve">内完成签到或解密的情况除外。</w:t>
        </w:r>
        <w:r>
          <w:rPr>
            <w:rStyle w:val="1189"/>
          </w:rPr>
        </w:r>
        <w:r>
          <w:tab/>
        </w:r>
        <w:r>
          <w:fldChar w:fldCharType="begin"/>
          <w:instrText xml:space="preserve">PAGEREF _Toc23 \h</w:instrText>
          <w:fldChar w:fldCharType="separate"/>
          <w:t xml:space="preserve">12</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24" w:anchor="_Toc24" w:history="1">
        <w:r>
          <w:rPr>
            <w:rStyle w:val="1189"/>
          </w:rPr>
        </w:r>
        <w:r>
          <w:rPr>
            <w:rStyle w:val="1189"/>
            <w:rFonts w:hint="eastAsia" w:ascii="微软雅黑" w:hAnsi="微软雅黑" w:eastAsia="微软雅黑" w:cs="微软雅黑"/>
            <w:b/>
          </w:rPr>
          <w:t xml:space="preserve">4.3 投标截止时间</w:t>
        </w:r>
        <w:r>
          <w:rPr>
            <w:rStyle w:val="1189"/>
          </w:rPr>
        </w:r>
        <w:r>
          <w:tab/>
        </w:r>
        <w:r>
          <w:fldChar w:fldCharType="begin"/>
          <w:instrText xml:space="preserve">PAGEREF _Toc24 \h</w:instrText>
          <w:fldChar w:fldCharType="separate"/>
          <w:t xml:space="preserve">12</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25" w:anchor="_Toc25" w:history="1">
        <w:r>
          <w:rPr>
            <w:rStyle w:val="1189"/>
          </w:rPr>
        </w:r>
        <w:r>
          <w:rPr>
            <w:rStyle w:val="1189"/>
            <w:rFonts w:hint="eastAsia" w:ascii="微软雅黑" w:hAnsi="微软雅黑" w:eastAsia="微软雅黑" w:cs="微软雅黑"/>
            <w:b/>
          </w:rPr>
          <w:t xml:space="preserve">4.4 投标文件的修改和撤回</w:t>
        </w:r>
        <w:r>
          <w:rPr>
            <w:rStyle w:val="1189"/>
          </w:rPr>
        </w:r>
        <w:r>
          <w:tab/>
        </w:r>
        <w:r>
          <w:fldChar w:fldCharType="begin"/>
          <w:instrText xml:space="preserve">PAGEREF _Toc25 \h</w:instrText>
          <w:fldChar w:fldCharType="separate"/>
          <w:t xml:space="preserve">12</w:t>
          <w:fldChar w:fldCharType="end"/>
        </w:r>
      </w:hyperlink>
      <w:r>
        <w:rPr>
          <w:rFonts w:ascii="微软雅黑" w:hAnsi="微软雅黑" w:eastAsia="微软雅黑" w:cs="微软雅黑"/>
          <w:b/>
        </w:rPr>
      </w:r>
      <w:r/>
    </w:p>
    <w:p>
      <w:pPr>
        <w:pStyle w:val="1181"/>
        <w:tabs>
          <w:tab w:val="right" w:pos="8300" w:leader="dot"/>
        </w:tabs>
        <w:rPr>
          <w:rFonts w:ascii="微软雅黑" w:hAnsi="微软雅黑" w:eastAsia="微软雅黑" w:cs="微软雅黑"/>
          <w:b/>
          <w:bCs/>
        </w:rPr>
      </w:pPr>
      <w:r/>
      <w:hyperlink w:tooltip="#_Toc26" w:anchor="_Toc26" w:history="1">
        <w:r>
          <w:rPr>
            <w:rStyle w:val="1189"/>
          </w:rPr>
        </w:r>
        <w:r>
          <w:rPr>
            <w:rStyle w:val="1189"/>
            <w:rFonts w:hint="eastAsia" w:ascii="微软雅黑" w:hAnsi="微软雅黑" w:eastAsia="微软雅黑" w:cs="微软雅黑"/>
            <w:b/>
            <w:bCs/>
          </w:rPr>
          <w:t xml:space="preserve">五、开标与评标</w:t>
        </w:r>
        <w:r>
          <w:rPr>
            <w:rStyle w:val="1189"/>
          </w:rPr>
        </w:r>
        <w:r>
          <w:tab/>
        </w:r>
        <w:r>
          <w:fldChar w:fldCharType="begin"/>
          <w:instrText xml:space="preserve">PAGEREF _Toc26 \h</w:instrText>
          <w:fldChar w:fldCharType="separate"/>
          <w:t xml:space="preserve">13</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rPr>
      </w:pPr>
      <w:r/>
      <w:hyperlink w:tooltip="#_Toc27" w:anchor="_Toc27" w:history="1">
        <w:r>
          <w:rPr>
            <w:rStyle w:val="1189"/>
          </w:rPr>
        </w:r>
        <w:r>
          <w:rPr>
            <w:rStyle w:val="1189"/>
            <w:rFonts w:hint="eastAsia" w:ascii="微软雅黑" w:hAnsi="微软雅黑" w:eastAsia="微软雅黑" w:cs="微软雅黑"/>
            <w:b/>
          </w:rPr>
          <w:t xml:space="preserve">5.1 投标文件启封</w:t>
        </w:r>
        <w:r>
          <w:rPr>
            <w:rStyle w:val="1189"/>
          </w:rPr>
        </w:r>
        <w:r>
          <w:tab/>
        </w:r>
        <w:r>
          <w:fldChar w:fldCharType="begin"/>
          <w:instrText xml:space="preserve">PAGEREF _Toc27 \h</w:instrText>
          <w:fldChar w:fldCharType="separate"/>
          <w:t xml:space="preserve">13</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28" w:anchor="_Toc28" w:history="1">
        <w:r>
          <w:rPr>
            <w:rStyle w:val="1189"/>
          </w:rPr>
        </w:r>
        <w:r>
          <w:rPr>
            <w:rStyle w:val="1189"/>
            <w:rFonts w:hint="eastAsia" w:ascii="微软雅黑" w:hAnsi="微软雅黑" w:eastAsia="微软雅黑" w:cs="微软雅黑"/>
            <w:b/>
          </w:rPr>
          <w:t xml:space="preserve">5.2 评标委员会</w:t>
        </w:r>
        <w:r>
          <w:rPr>
            <w:rStyle w:val="1189"/>
          </w:rPr>
        </w:r>
        <w:r>
          <w:tab/>
        </w:r>
        <w:r>
          <w:fldChar w:fldCharType="begin"/>
          <w:instrText xml:space="preserve">PAGEREF _Toc28 \h</w:instrText>
          <w:fldChar w:fldCharType="separate"/>
          <w:t xml:space="preserve">13</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29" w:anchor="_Toc29" w:history="1">
        <w:r>
          <w:rPr>
            <w:rStyle w:val="1189"/>
          </w:rPr>
        </w:r>
        <w:r>
          <w:rPr>
            <w:rStyle w:val="1189"/>
            <w:rFonts w:hint="eastAsia" w:ascii="微软雅黑" w:hAnsi="微软雅黑" w:eastAsia="微软雅黑" w:cs="微软雅黑"/>
            <w:b/>
          </w:rPr>
          <w:t xml:space="preserve">5.3 对投标文件的资格性审查和符合性审查</w:t>
        </w:r>
        <w:r>
          <w:rPr>
            <w:rStyle w:val="1189"/>
          </w:rPr>
        </w:r>
        <w:r>
          <w:tab/>
        </w:r>
        <w:r>
          <w:fldChar w:fldCharType="begin"/>
          <w:instrText xml:space="preserve">PAGEREF _Toc29 \h</w:instrText>
          <w:fldChar w:fldCharType="separate"/>
          <w:t xml:space="preserve">13</w:t>
          <w:fldChar w:fldCharType="end"/>
        </w:r>
      </w:hyperlink>
      <w:r>
        <w:rPr>
          <w:rFonts w:ascii="微软雅黑" w:hAnsi="微软雅黑" w:eastAsia="微软雅黑" w:cs="微软雅黑"/>
          <w:b/>
        </w:rPr>
      </w:r>
      <w:r/>
    </w:p>
    <w:p>
      <w:pPr>
        <w:pStyle w:val="1169"/>
        <w:tabs>
          <w:tab w:val="right" w:pos="8300" w:leader="dot"/>
        </w:tabs>
        <w:rPr>
          <w:rFonts w:ascii="微软雅黑" w:hAnsi="微软雅黑" w:cs="微软雅黑"/>
        </w:rPr>
      </w:pPr>
      <w:r/>
      <w:hyperlink w:tooltip="#_Toc30" w:anchor="_Toc30" w:history="1">
        <w:r>
          <w:rPr>
            <w:rStyle w:val="1189"/>
          </w:rPr>
        </w:r>
        <w:r>
          <w:rPr>
            <w:rStyle w:val="1189"/>
            <w:rFonts w:hint="eastAsia" w:ascii="微软雅黑" w:hAnsi="微软雅黑" w:cs="微软雅黑"/>
          </w:rPr>
          <w:t xml:space="preserve">5.4投标文件的澄清</w:t>
        </w:r>
        <w:r>
          <w:rPr>
            <w:rStyle w:val="1189"/>
          </w:rPr>
        </w:r>
        <w:r>
          <w:tab/>
        </w:r>
        <w:r>
          <w:fldChar w:fldCharType="begin"/>
          <w:instrText xml:space="preserve">PAGEREF _Toc30 \h</w:instrText>
          <w:fldChar w:fldCharType="separate"/>
          <w:t xml:space="preserve">14</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1" w:anchor="_Toc31" w:history="1">
        <w:r>
          <w:rPr>
            <w:rStyle w:val="1189"/>
          </w:rPr>
        </w:r>
        <w:r>
          <w:rPr>
            <w:rStyle w:val="1189"/>
            <w:rFonts w:hint="eastAsia" w:ascii="微软雅黑" w:hAnsi="微软雅黑" w:cs="微软雅黑"/>
          </w:rPr>
          <w:t xml:space="preserve">5.5评标及中标</w:t>
        </w:r>
        <w:r>
          <w:rPr>
            <w:rStyle w:val="1189"/>
          </w:rPr>
        </w:r>
        <w:r>
          <w:tab/>
        </w:r>
        <w:r>
          <w:fldChar w:fldCharType="begin"/>
          <w:instrText xml:space="preserve">PAGEREF _Toc31 \h</w:instrText>
          <w:fldChar w:fldCharType="separate"/>
          <w:t xml:space="preserve">14</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2" w:anchor="_Toc32" w:history="1">
        <w:r>
          <w:rPr>
            <w:rStyle w:val="1189"/>
          </w:rPr>
        </w:r>
        <w:r>
          <w:rPr>
            <w:rStyle w:val="1189"/>
            <w:rFonts w:hint="eastAsia" w:ascii="微软雅黑" w:hAnsi="微软雅黑" w:cs="微软雅黑"/>
          </w:rPr>
          <w:t xml:space="preserve">5.6评标过程保密</w:t>
        </w:r>
        <w:r>
          <w:rPr>
            <w:rStyle w:val="1189"/>
          </w:rPr>
        </w:r>
        <w:r>
          <w:tab/>
        </w:r>
        <w:r>
          <w:fldChar w:fldCharType="begin"/>
          <w:instrText xml:space="preserve">PAGEREF _Toc32 \h</w:instrText>
          <w:fldChar w:fldCharType="separate"/>
          <w:t xml:space="preserve">14</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3" w:anchor="_Toc33" w:history="1">
        <w:r>
          <w:rPr>
            <w:rStyle w:val="1189"/>
          </w:rPr>
        </w:r>
        <w:r>
          <w:rPr>
            <w:rStyle w:val="1189"/>
            <w:rFonts w:hint="eastAsia" w:ascii="微软雅黑" w:hAnsi="微软雅黑" w:cs="微软雅黑"/>
          </w:rPr>
          <w:t xml:space="preserve">5.7投标截止时间结束后参加供应商不足三家情况的处理</w:t>
        </w:r>
        <w:r>
          <w:rPr>
            <w:rStyle w:val="1189"/>
          </w:rPr>
        </w:r>
        <w:r>
          <w:tab/>
        </w:r>
        <w:r>
          <w:fldChar w:fldCharType="begin"/>
          <w:instrText xml:space="preserve">PAGEREF _Toc33 \h</w:instrText>
          <w:fldChar w:fldCharType="separate"/>
          <w:t xml:space="preserve">14</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4" w:anchor="_Toc34" w:history="1">
        <w:r>
          <w:rPr>
            <w:rStyle w:val="1189"/>
          </w:rPr>
        </w:r>
        <w:r>
          <w:rPr>
            <w:rStyle w:val="1189"/>
            <w:rFonts w:hint="eastAsia" w:ascii="微软雅黑" w:hAnsi="微软雅黑" w:cs="微软雅黑"/>
          </w:rPr>
          <w:t xml:space="preserve">5.8废标（终止采购活动）</w:t>
        </w:r>
        <w:r>
          <w:rPr>
            <w:rStyle w:val="1189"/>
          </w:rPr>
        </w:r>
        <w:r>
          <w:tab/>
        </w:r>
        <w:r>
          <w:fldChar w:fldCharType="begin"/>
          <w:instrText xml:space="preserve">PAGEREF _Toc34 \h</w:instrText>
          <w:fldChar w:fldCharType="separate"/>
          <w:t xml:space="preserve">15</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5" w:anchor="_Toc35" w:history="1">
        <w:r>
          <w:rPr>
            <w:rStyle w:val="1189"/>
          </w:rPr>
        </w:r>
        <w:r>
          <w:rPr>
            <w:rStyle w:val="1189"/>
            <w:rFonts w:hint="eastAsia" w:ascii="微软雅黑" w:hAnsi="微软雅黑" w:cs="微软雅黑"/>
          </w:rPr>
          <w:t xml:space="preserve">5.9有下列情形之一的，视为投标供应商串通投标，其投标无效：</w:t>
        </w:r>
        <w:r>
          <w:rPr>
            <w:rStyle w:val="1189"/>
          </w:rPr>
        </w:r>
        <w:r>
          <w:tab/>
        </w:r>
        <w:r>
          <w:fldChar w:fldCharType="begin"/>
          <w:instrText xml:space="preserve">PAGEREF _Toc35 \h</w:instrText>
          <w:fldChar w:fldCharType="separate"/>
          <w:t xml:space="preserve">15</w:t>
          <w:fldChar w:fldCharType="end"/>
        </w:r>
      </w:hyperlink>
      <w:r>
        <w:rPr>
          <w:rFonts w:ascii="微软雅黑" w:hAnsi="微软雅黑" w:cs="微软雅黑"/>
        </w:rPr>
      </w:r>
      <w:r/>
    </w:p>
    <w:p>
      <w:pPr>
        <w:pStyle w:val="1181"/>
        <w:tabs>
          <w:tab w:val="right" w:pos="8300" w:leader="dot"/>
        </w:tabs>
        <w:rPr>
          <w:rFonts w:ascii="微软雅黑" w:hAnsi="微软雅黑" w:cs="微软雅黑"/>
        </w:rPr>
      </w:pPr>
      <w:r/>
      <w:hyperlink w:tooltip="#_Toc36" w:anchor="_Toc36" w:history="1">
        <w:r>
          <w:rPr>
            <w:rStyle w:val="1189"/>
          </w:rPr>
        </w:r>
        <w:r>
          <w:rPr>
            <w:rStyle w:val="1189"/>
            <w:rFonts w:hint="eastAsia" w:ascii="微软雅黑" w:hAnsi="微软雅黑" w:cs="微软雅黑"/>
          </w:rPr>
          <w:t xml:space="preserve">六、合同授予及签订</w:t>
        </w:r>
        <w:r>
          <w:rPr>
            <w:rStyle w:val="1189"/>
          </w:rPr>
        </w:r>
        <w:r>
          <w:tab/>
        </w:r>
        <w:r>
          <w:fldChar w:fldCharType="begin"/>
          <w:instrText xml:space="preserve">PAGEREF _Toc36 \h</w:instrText>
          <w:fldChar w:fldCharType="separate"/>
          <w:t xml:space="preserve">15</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7" w:anchor="_Toc37" w:history="1">
        <w:r>
          <w:rPr>
            <w:rStyle w:val="1189"/>
          </w:rPr>
        </w:r>
        <w:r>
          <w:rPr>
            <w:rStyle w:val="1189"/>
            <w:rFonts w:hint="eastAsia" w:ascii="微软雅黑" w:hAnsi="微软雅黑" w:cs="微软雅黑"/>
          </w:rPr>
          <w:t xml:space="preserve">6.1确定中标、成交供应商</w:t>
        </w:r>
        <w:r>
          <w:rPr>
            <w:rStyle w:val="1189"/>
          </w:rPr>
        </w:r>
        <w:r>
          <w:tab/>
        </w:r>
        <w:r>
          <w:fldChar w:fldCharType="begin"/>
          <w:instrText xml:space="preserve">PAGEREF _Toc37 \h</w:instrText>
          <w:fldChar w:fldCharType="separate"/>
          <w:t xml:space="preserve">15</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8" w:anchor="_Toc38" w:history="1">
        <w:r>
          <w:rPr>
            <w:rStyle w:val="1189"/>
          </w:rPr>
        </w:r>
        <w:r>
          <w:rPr>
            <w:rStyle w:val="1189"/>
            <w:rFonts w:hint="eastAsia" w:ascii="微软雅黑" w:hAnsi="微软雅黑" w:cs="微软雅黑"/>
          </w:rPr>
          <w:t xml:space="preserve">6.2质疑处理</w:t>
        </w:r>
        <w:r>
          <w:rPr>
            <w:rStyle w:val="1189"/>
          </w:rPr>
        </w:r>
        <w:r>
          <w:tab/>
        </w:r>
        <w:r>
          <w:fldChar w:fldCharType="begin"/>
          <w:instrText xml:space="preserve">PAGEREF _Toc38 \h</w:instrText>
          <w:fldChar w:fldCharType="separate"/>
          <w:t xml:space="preserve">16</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39" w:anchor="_Toc39" w:history="1">
        <w:r>
          <w:rPr>
            <w:rStyle w:val="1189"/>
          </w:rPr>
        </w:r>
        <w:r>
          <w:rPr>
            <w:rStyle w:val="1189"/>
            <w:rFonts w:hint="eastAsia" w:ascii="微软雅黑" w:hAnsi="微软雅黑" w:cs="微软雅黑"/>
          </w:rPr>
          <w:t xml:space="preserve">6.3中标通知书</w:t>
        </w:r>
        <w:r>
          <w:rPr>
            <w:rStyle w:val="1189"/>
          </w:rPr>
        </w:r>
        <w:r>
          <w:tab/>
        </w:r>
        <w:r>
          <w:fldChar w:fldCharType="begin"/>
          <w:instrText xml:space="preserve">PAGEREF _Toc39 \h</w:instrText>
          <w:fldChar w:fldCharType="separate"/>
          <w:t xml:space="preserve">16</w:t>
          <w:fldChar w:fldCharType="end"/>
        </w:r>
      </w:hyperlink>
      <w:r>
        <w:rPr>
          <w:rFonts w:ascii="微软雅黑" w:hAnsi="微软雅黑" w:cs="微软雅黑"/>
        </w:rPr>
      </w:r>
      <w:r/>
    </w:p>
    <w:p>
      <w:pPr>
        <w:pStyle w:val="1169"/>
        <w:tabs>
          <w:tab w:val="right" w:pos="8300" w:leader="dot"/>
        </w:tabs>
        <w:rPr>
          <w:rFonts w:ascii="微软雅黑" w:hAnsi="微软雅黑" w:cs="微软雅黑"/>
        </w:rPr>
      </w:pPr>
      <w:r/>
      <w:hyperlink w:tooltip="#_Toc40" w:anchor="_Toc40" w:history="1">
        <w:r>
          <w:rPr>
            <w:rStyle w:val="1189"/>
          </w:rPr>
        </w:r>
        <w:r>
          <w:rPr>
            <w:rStyle w:val="1189"/>
            <w:rFonts w:hint="eastAsia" w:ascii="微软雅黑" w:hAnsi="微软雅黑" w:cs="微软雅黑"/>
          </w:rPr>
          <w:t xml:space="preserve">6.4签订合同</w:t>
        </w:r>
        <w:r>
          <w:rPr>
            <w:rStyle w:val="1189"/>
          </w:rPr>
        </w:r>
        <w:r>
          <w:tab/>
        </w:r>
        <w:r>
          <w:fldChar w:fldCharType="begin"/>
          <w:instrText xml:space="preserve">PAGEREF _Toc40 \h</w:instrText>
          <w:fldChar w:fldCharType="separate"/>
          <w:t xml:space="preserve">17</w:t>
          <w:fldChar w:fldCharType="end"/>
        </w:r>
      </w:hyperlink>
      <w:r>
        <w:rPr>
          <w:rFonts w:ascii="微软雅黑" w:hAnsi="微软雅黑" w:cs="微软雅黑"/>
        </w:rPr>
      </w:r>
      <w:r/>
    </w:p>
    <w:p>
      <w:pPr>
        <w:pStyle w:val="1157"/>
        <w:tabs>
          <w:tab w:val="right" w:pos="8300" w:leader="dot"/>
        </w:tabs>
        <w:rPr>
          <w:rFonts w:ascii="微软雅黑" w:hAnsi="微软雅黑" w:cs="微软雅黑"/>
        </w:rPr>
      </w:pPr>
      <w:r/>
      <w:hyperlink w:tooltip="#_Toc41" w:anchor="_Toc41" w:history="1">
        <w:r>
          <w:rPr>
            <w:rStyle w:val="1189"/>
          </w:rPr>
        </w:r>
        <w:r>
          <w:rPr>
            <w:rStyle w:val="1189"/>
            <w:rFonts w:hint="eastAsia" w:ascii="微软雅黑" w:hAnsi="微软雅黑" w:cs="微软雅黑"/>
          </w:rPr>
          <w:t xml:space="preserve">第三章</w:t>
        </w:r>
        <w:r>
          <w:rPr>
            <w:rStyle w:val="1189"/>
            <w:rFonts w:hint="eastAsia" w:ascii="微软雅黑" w:hAnsi="微软雅黑" w:cs="微软雅黑"/>
          </w:rPr>
          <w:t xml:space="preserve"> 评标办法和定标原则</w:t>
        </w:r>
        <w:r>
          <w:rPr>
            <w:rStyle w:val="1189"/>
          </w:rPr>
        </w:r>
        <w:r>
          <w:tab/>
        </w:r>
        <w:r>
          <w:fldChar w:fldCharType="begin"/>
          <w:instrText xml:space="preserve">PAGEREF _Toc41 \h</w:instrText>
          <w:fldChar w:fldCharType="separate"/>
          <w:t xml:space="preserve">18</w:t>
          <w:fldChar w:fldCharType="end"/>
        </w:r>
      </w:hyperlink>
      <w:r>
        <w:rPr>
          <w:rFonts w:ascii="微软雅黑" w:hAnsi="微软雅黑" w:cs="微软雅黑"/>
        </w:rPr>
      </w:r>
      <w:r/>
    </w:p>
    <w:p>
      <w:pPr>
        <w:pStyle w:val="1157"/>
        <w:tabs>
          <w:tab w:val="right" w:pos="8300" w:leader="dot"/>
        </w:tabs>
        <w:rPr>
          <w:rFonts w:ascii="微软雅黑" w:hAnsi="微软雅黑" w:cs="微软雅黑"/>
        </w:rPr>
      </w:pPr>
      <w:r/>
      <w:hyperlink w:tooltip="#_Toc42" w:anchor="_Toc42" w:history="1">
        <w:r>
          <w:rPr>
            <w:rStyle w:val="1189"/>
          </w:rPr>
        </w:r>
        <w:r>
          <w:rPr>
            <w:rStyle w:val="1189"/>
            <w:rFonts w:hint="eastAsia" w:ascii="微软雅黑" w:hAnsi="微软雅黑" w:cs="微软雅黑"/>
          </w:rPr>
          <w:t xml:space="preserve">第四章 项目采购需求</w:t>
        </w:r>
        <w:r>
          <w:rPr>
            <w:rStyle w:val="1189"/>
          </w:rPr>
        </w:r>
        <w:r>
          <w:tab/>
        </w:r>
        <w:r>
          <w:fldChar w:fldCharType="begin"/>
          <w:instrText xml:space="preserve">PAGEREF _Toc42 \h</w:instrText>
          <w:fldChar w:fldCharType="separate"/>
          <w:t xml:space="preserve">23</w:t>
          <w:fldChar w:fldCharType="end"/>
        </w:r>
      </w:hyperlink>
      <w:r>
        <w:rPr>
          <w:rFonts w:ascii="微软雅黑" w:hAnsi="微软雅黑" w:cs="微软雅黑"/>
        </w:rPr>
      </w:r>
      <w:r/>
    </w:p>
    <w:p>
      <w:pPr>
        <w:pStyle w:val="1181"/>
        <w:tabs>
          <w:tab w:val="right" w:pos="8300" w:leader="dot"/>
        </w:tabs>
        <w:rPr>
          <w:rFonts w:ascii="微软雅黑" w:hAnsi="微软雅黑" w:eastAsia="微软雅黑" w:cs="微软雅黑"/>
          <w:b/>
          <w:bCs/>
        </w:rPr>
      </w:pPr>
      <w:r/>
      <w:hyperlink w:tooltip="#_Toc43" w:anchor="_Toc43" w:history="1">
        <w:r>
          <w:rPr>
            <w:rStyle w:val="1189"/>
          </w:rPr>
        </w:r>
        <w:r>
          <w:rPr>
            <w:rStyle w:val="1189"/>
            <w:rFonts w:hint="eastAsia" w:ascii="微软雅黑" w:hAnsi="微软雅黑" w:eastAsia="微软雅黑" w:cs="微软雅黑"/>
            <w:b/>
            <w:bCs/>
          </w:rPr>
          <w:t xml:space="preserve">一、项目概况</w:t>
        </w:r>
        <w:r>
          <w:rPr>
            <w:rStyle w:val="1189"/>
          </w:rPr>
        </w:r>
        <w:r>
          <w:tab/>
        </w:r>
        <w:r>
          <w:fldChar w:fldCharType="begin"/>
          <w:instrText xml:space="preserve">PAGEREF _Toc43 \h</w:instrText>
          <w:fldChar w:fldCharType="separate"/>
          <w:t xml:space="preserve">23</w:t>
          <w:fldChar w:fldCharType="end"/>
        </w:r>
      </w:hyperlink>
      <w:r>
        <w:rPr>
          <w:rFonts w:ascii="微软雅黑" w:hAnsi="微软雅黑" w:eastAsia="微软雅黑" w:cs="微软雅黑"/>
          <w:b/>
          <w:bCs/>
        </w:rPr>
      </w:r>
      <w:r/>
    </w:p>
    <w:p>
      <w:pPr>
        <w:pStyle w:val="1181"/>
        <w:tabs>
          <w:tab w:val="right" w:pos="8300" w:leader="dot"/>
        </w:tabs>
        <w:rPr>
          <w:rFonts w:ascii="微软雅黑" w:hAnsi="微软雅黑" w:eastAsia="微软雅黑" w:cs="微软雅黑"/>
          <w:b/>
          <w:bCs/>
        </w:rPr>
      </w:pPr>
      <w:r/>
      <w:hyperlink w:tooltip="#_Toc44" w:anchor="_Toc44" w:history="1">
        <w:r>
          <w:rPr>
            <w:rStyle w:val="1189"/>
          </w:rPr>
        </w:r>
        <w:r>
          <w:rPr>
            <w:rStyle w:val="1189"/>
            <w:rFonts w:hint="eastAsia" w:ascii="微软雅黑" w:hAnsi="微软雅黑" w:eastAsia="微软雅黑" w:cs="微软雅黑"/>
            <w:b/>
            <w:bCs/>
          </w:rPr>
          <w:t xml:space="preserve">★</w:t>
        </w:r>
        <w:r>
          <w:rPr>
            <w:rStyle w:val="1189"/>
            <w:rFonts w:hint="eastAsia" w:ascii="微软雅黑" w:hAnsi="微软雅黑" w:eastAsia="微软雅黑" w:cs="微软雅黑"/>
            <w:b/>
            <w:bCs/>
          </w:rPr>
          <w:t xml:space="preserve">二、食材质量要求</w:t>
        </w:r>
        <w:r>
          <w:rPr>
            <w:rStyle w:val="1189"/>
          </w:rPr>
        </w:r>
        <w:r>
          <w:tab/>
        </w:r>
        <w:r>
          <w:fldChar w:fldCharType="begin"/>
          <w:instrText xml:space="preserve">PAGEREF _Toc44 \h</w:instrText>
          <w:fldChar w:fldCharType="separate"/>
          <w:t xml:space="preserve">23</w:t>
          <w:fldChar w:fldCharType="end"/>
        </w:r>
      </w:hyperlink>
      <w:r>
        <w:rPr>
          <w:rFonts w:ascii="微软雅黑" w:hAnsi="微软雅黑" w:eastAsia="微软雅黑" w:cs="微软雅黑"/>
          <w:b/>
          <w:bCs/>
        </w:rPr>
      </w:r>
      <w:r/>
    </w:p>
    <w:p>
      <w:pPr>
        <w:pStyle w:val="1181"/>
        <w:tabs>
          <w:tab w:val="right" w:pos="8300" w:leader="dot"/>
        </w:tabs>
        <w:rPr>
          <w:rFonts w:hint="eastAsia" w:ascii="微软雅黑" w:hAnsi="微软雅黑" w:eastAsia="微软雅黑" w:cs="微软雅黑"/>
          <w:b/>
          <w:bCs/>
        </w:rPr>
      </w:pPr>
      <w:r/>
      <w:hyperlink w:tooltip="#_Toc45" w:anchor="_Toc45" w:history="1">
        <w:r>
          <w:rPr>
            <w:rStyle w:val="1189"/>
          </w:rPr>
        </w:r>
        <w:r>
          <w:rPr>
            <w:rStyle w:val="1189"/>
            <w:rFonts w:hint="eastAsia" w:ascii="微软雅黑" w:hAnsi="微软雅黑" w:eastAsia="微软雅黑" w:cs="微软雅黑"/>
            <w:b/>
            <w:bCs/>
          </w:rPr>
          <w:t xml:space="preserve">★</w:t>
        </w:r>
        <w:r>
          <w:rPr>
            <w:rStyle w:val="1189"/>
            <w:rFonts w:hint="eastAsia" w:ascii="微软雅黑" w:hAnsi="微软雅黑" w:eastAsia="微软雅黑" w:cs="微软雅黑"/>
            <w:b/>
            <w:bCs/>
          </w:rPr>
          <w:t xml:space="preserve">三、食材配送及交货要求</w:t>
        </w:r>
        <w:r>
          <w:rPr>
            <w:rStyle w:val="1189"/>
          </w:rPr>
        </w:r>
        <w:r>
          <w:tab/>
        </w:r>
        <w:r>
          <w:fldChar w:fldCharType="begin"/>
          <w:instrText xml:space="preserve">PAGEREF _Toc45 \h</w:instrText>
          <w:fldChar w:fldCharType="separate"/>
          <w:t xml:space="preserve">24</w:t>
          <w:fldChar w:fldCharType="end"/>
        </w:r>
      </w:hyperlink>
      <w:r>
        <w:rPr>
          <w:rFonts w:hint="eastAsia" w:ascii="微软雅黑" w:hAnsi="微软雅黑" w:eastAsia="微软雅黑" w:cs="微软雅黑"/>
          <w:b/>
          <w:bCs/>
        </w:rPr>
      </w:r>
      <w:r/>
    </w:p>
    <w:p>
      <w:pPr>
        <w:pStyle w:val="1181"/>
        <w:tabs>
          <w:tab w:val="right" w:pos="8300" w:leader="dot"/>
        </w:tabs>
        <w:rPr>
          <w:rFonts w:ascii="微软雅黑" w:hAnsi="微软雅黑" w:eastAsia="微软雅黑" w:cs="微软雅黑"/>
          <w:b/>
          <w:bCs/>
        </w:rPr>
      </w:pPr>
      <w:r/>
      <w:hyperlink w:tooltip="#_Toc46" w:anchor="_Toc46" w:history="1">
        <w:r>
          <w:rPr>
            <w:rStyle w:val="1189"/>
          </w:rPr>
        </w:r>
        <w:r>
          <w:rPr>
            <w:rStyle w:val="1189"/>
            <w:rFonts w:hint="eastAsia" w:ascii="微软雅黑" w:hAnsi="微软雅黑" w:eastAsia="微软雅黑" w:cs="微软雅黑"/>
            <w:b/>
            <w:bCs/>
          </w:rPr>
          <w:t xml:space="preserve">★</w:t>
        </w:r>
        <w:r>
          <w:rPr>
            <w:rStyle w:val="1189"/>
            <w:rFonts w:hint="eastAsia" w:ascii="微软雅黑" w:hAnsi="微软雅黑" w:eastAsia="微软雅黑" w:cs="微软雅黑"/>
            <w:b/>
            <w:bCs/>
          </w:rPr>
          <w:t xml:space="preserve">四、履约及违约</w:t>
        </w:r>
        <w:r>
          <w:rPr>
            <w:rStyle w:val="1189"/>
          </w:rPr>
        </w:r>
        <w:r>
          <w:tab/>
        </w:r>
        <w:r>
          <w:fldChar w:fldCharType="begin"/>
          <w:instrText xml:space="preserve">PAGEREF _Toc46 \h</w:instrText>
          <w:fldChar w:fldCharType="separate"/>
          <w:t xml:space="preserve">30</w:t>
          <w:fldChar w:fldCharType="end"/>
        </w:r>
      </w:hyperlink>
      <w:r>
        <w:rPr>
          <w:rFonts w:ascii="微软雅黑" w:hAnsi="微软雅黑" w:eastAsia="微软雅黑" w:cs="微软雅黑"/>
          <w:b/>
          <w:bCs/>
        </w:rPr>
      </w:r>
      <w:r/>
    </w:p>
    <w:p>
      <w:pPr>
        <w:pStyle w:val="1181"/>
        <w:tabs>
          <w:tab w:val="right" w:pos="8300" w:leader="dot"/>
        </w:tabs>
        <w:rPr>
          <w:rFonts w:ascii="微软雅黑" w:hAnsi="微软雅黑" w:eastAsia="微软雅黑" w:cs="微软雅黑"/>
          <w:b/>
          <w:bCs/>
        </w:rPr>
      </w:pPr>
      <w:r/>
      <w:hyperlink w:tooltip="#_Toc47" w:anchor="_Toc47" w:history="1">
        <w:r>
          <w:rPr>
            <w:rStyle w:val="1189"/>
          </w:rPr>
        </w:r>
        <w:r>
          <w:rPr>
            <w:rStyle w:val="1189"/>
            <w:rFonts w:hint="eastAsia" w:ascii="微软雅黑" w:hAnsi="微软雅黑" w:eastAsia="微软雅黑" w:cs="微软雅黑"/>
            <w:b/>
            <w:bCs/>
          </w:rPr>
          <w:t xml:space="preserve">五、报价方式</w:t>
        </w:r>
        <w:r>
          <w:rPr>
            <w:rStyle w:val="1189"/>
          </w:rPr>
        </w:r>
        <w:r>
          <w:tab/>
        </w:r>
        <w:r>
          <w:fldChar w:fldCharType="begin"/>
          <w:instrText xml:space="preserve">PAGEREF _Toc47 \h</w:instrText>
          <w:fldChar w:fldCharType="separate"/>
          <w:t xml:space="preserve">30</w:t>
          <w:fldChar w:fldCharType="end"/>
        </w:r>
      </w:hyperlink>
      <w:r>
        <w:rPr>
          <w:rFonts w:ascii="微软雅黑" w:hAnsi="微软雅黑" w:eastAsia="微软雅黑" w:cs="微软雅黑"/>
          <w:b/>
          <w:bCs/>
        </w:rPr>
      </w:r>
      <w:r/>
    </w:p>
    <w:p>
      <w:pPr>
        <w:pStyle w:val="1181"/>
        <w:tabs>
          <w:tab w:val="right" w:pos="8300" w:leader="dot"/>
        </w:tabs>
        <w:rPr>
          <w:rFonts w:ascii="微软雅黑" w:hAnsi="微软雅黑" w:eastAsia="微软雅黑" w:cs="微软雅黑"/>
          <w:b/>
          <w:bCs/>
          <w:highlight w:val="none"/>
        </w:rPr>
      </w:pPr>
      <w:r/>
      <w:hyperlink w:tooltip="#_Toc48" w:anchor="_Toc48" w:history="1">
        <w:r>
          <w:rPr>
            <w:rStyle w:val="1189"/>
          </w:rPr>
        </w:r>
        <w:r>
          <w:rPr>
            <w:rStyle w:val="1189"/>
            <w:rFonts w:hint="eastAsia" w:ascii="微软雅黑" w:hAnsi="微软雅黑" w:eastAsia="微软雅黑" w:cs="微软雅黑"/>
            <w:b/>
            <w:bCs/>
            <w:highlight w:val="none"/>
          </w:rPr>
          <w:t xml:space="preserve">六、供货商月考核办法</w:t>
        </w:r>
        <w:r>
          <w:rPr>
            <w:rStyle w:val="1189"/>
          </w:rPr>
        </w:r>
        <w:r>
          <w:tab/>
        </w:r>
        <w:r>
          <w:fldChar w:fldCharType="begin"/>
          <w:instrText xml:space="preserve">PAGEREF _Toc48 \h</w:instrText>
          <w:fldChar w:fldCharType="separate"/>
          <w:t xml:space="preserve">31</w:t>
          <w:fldChar w:fldCharType="end"/>
        </w:r>
      </w:hyperlink>
      <w:r>
        <w:rPr>
          <w:rFonts w:ascii="微软雅黑" w:hAnsi="微软雅黑" w:eastAsia="微软雅黑" w:cs="微软雅黑"/>
          <w:b/>
          <w:bCs/>
          <w:highlight w:val="none"/>
        </w:rPr>
      </w:r>
      <w:r/>
    </w:p>
    <w:p>
      <w:pPr>
        <w:pStyle w:val="1181"/>
        <w:tabs>
          <w:tab w:val="right" w:pos="8300" w:leader="dot"/>
        </w:tabs>
        <w:rPr>
          <w:rFonts w:ascii="微软雅黑" w:hAnsi="微软雅黑" w:eastAsia="微软雅黑" w:cs="微软雅黑"/>
          <w:b/>
          <w:bCs/>
        </w:rPr>
      </w:pPr>
      <w:r/>
      <w:hyperlink w:tooltip="#_Toc49" w:anchor="_Toc49" w:history="1">
        <w:r>
          <w:rPr>
            <w:rStyle w:val="1189"/>
          </w:rPr>
        </w:r>
        <w:r>
          <w:rPr>
            <w:rStyle w:val="1189"/>
            <w:rFonts w:hint="eastAsia" w:ascii="微软雅黑" w:hAnsi="微软雅黑" w:eastAsia="微软雅黑" w:cs="微软雅黑"/>
            <w:b/>
            <w:bCs/>
            <w:lang w:val="zh-CN"/>
          </w:rPr>
          <w:t xml:space="preserve">七、支付方式</w:t>
        </w:r>
        <w:r>
          <w:rPr>
            <w:rStyle w:val="1189"/>
          </w:rPr>
        </w:r>
        <w:r>
          <w:tab/>
        </w:r>
        <w:r>
          <w:fldChar w:fldCharType="begin"/>
          <w:instrText xml:space="preserve">PAGEREF _Toc49 \h</w:instrText>
          <w:fldChar w:fldCharType="separate"/>
          <w:t xml:space="preserve">32</w:t>
          <w:fldChar w:fldCharType="end"/>
        </w:r>
      </w:hyperlink>
      <w:r>
        <w:rPr>
          <w:rFonts w:ascii="微软雅黑" w:hAnsi="微软雅黑" w:eastAsia="微软雅黑" w:cs="微软雅黑"/>
          <w:b/>
          <w:bCs/>
          <w:lang w:val="zh-CN"/>
        </w:rPr>
      </w:r>
      <w:r/>
    </w:p>
    <w:p>
      <w:pPr>
        <w:pStyle w:val="1157"/>
        <w:tabs>
          <w:tab w:val="right" w:pos="8300" w:leader="dot"/>
        </w:tabs>
        <w:rPr>
          <w:rFonts w:ascii="微软雅黑" w:hAnsi="微软雅黑" w:cs="微软雅黑"/>
        </w:rPr>
      </w:pPr>
      <w:r/>
      <w:hyperlink w:tooltip="#_Toc50" w:anchor="_Toc50" w:history="1">
        <w:r>
          <w:rPr>
            <w:rStyle w:val="1189"/>
          </w:rPr>
        </w:r>
        <w:r>
          <w:rPr>
            <w:rStyle w:val="1189"/>
            <w:rFonts w:hint="eastAsia" w:ascii="微软雅黑" w:hAnsi="微软雅黑" w:cs="微软雅黑"/>
          </w:rPr>
          <w:t xml:space="preserve">第五章 采购合同</w:t>
        </w:r>
        <w:r>
          <w:rPr>
            <w:rStyle w:val="1189"/>
          </w:rPr>
        </w:r>
        <w:r>
          <w:tab/>
        </w:r>
        <w:r>
          <w:fldChar w:fldCharType="begin"/>
          <w:instrText xml:space="preserve">PAGEREF _Toc50 \h</w:instrText>
          <w:fldChar w:fldCharType="separate"/>
          <w:t xml:space="preserve">33</w:t>
          <w:fldChar w:fldCharType="end"/>
        </w:r>
      </w:hyperlink>
      <w:r>
        <w:rPr>
          <w:rFonts w:ascii="微软雅黑" w:hAnsi="微软雅黑" w:cs="微软雅黑"/>
        </w:rPr>
      </w:r>
      <w:r/>
    </w:p>
    <w:p>
      <w:pPr>
        <w:pStyle w:val="1157"/>
        <w:tabs>
          <w:tab w:val="right" w:pos="8300" w:leader="dot"/>
        </w:tabs>
        <w:rPr>
          <w:rFonts w:ascii="微软雅黑" w:hAnsi="微软雅黑" w:cs="微软雅黑"/>
        </w:rPr>
      </w:pPr>
      <w:r/>
      <w:hyperlink w:tooltip="#_Toc51" w:anchor="_Toc51" w:history="1">
        <w:r>
          <w:rPr>
            <w:rStyle w:val="1189"/>
          </w:rPr>
        </w:r>
        <w:r>
          <w:rPr>
            <w:rStyle w:val="1189"/>
            <w:rFonts w:hint="eastAsia" w:ascii="微软雅黑" w:hAnsi="微软雅黑" w:cs="微软雅黑"/>
          </w:rPr>
          <w:t xml:space="preserve">第六章 投标文件格式</w:t>
        </w:r>
        <w:r>
          <w:rPr>
            <w:rStyle w:val="1189"/>
            <w:rFonts w:hint="eastAsia" w:ascii="微软雅黑" w:hAnsi="微软雅黑" w:cs="微软雅黑"/>
          </w:rPr>
          <w:t xml:space="preserve">及附件</w:t>
        </w:r>
        <w:r>
          <w:rPr>
            <w:rStyle w:val="1189"/>
          </w:rPr>
        </w:r>
        <w:r>
          <w:tab/>
        </w:r>
        <w:r>
          <w:fldChar w:fldCharType="begin"/>
          <w:instrText xml:space="preserve">PAGEREF _Toc51 \h</w:instrText>
          <w:fldChar w:fldCharType="separate"/>
          <w:t xml:space="preserve">37</w:t>
          <w:fldChar w:fldCharType="end"/>
        </w:r>
      </w:hyperlink>
      <w:r>
        <w:rPr>
          <w:rFonts w:ascii="微软雅黑" w:hAnsi="微软雅黑" w:cs="微软雅黑"/>
        </w:rPr>
      </w:r>
      <w:r/>
    </w:p>
    <w:p>
      <w:pPr>
        <w:pStyle w:val="1181"/>
        <w:tabs>
          <w:tab w:val="right" w:pos="8300" w:leader="dot"/>
        </w:tabs>
        <w:rPr>
          <w:rFonts w:ascii="微软雅黑" w:hAnsi="微软雅黑" w:eastAsia="微软雅黑" w:cs="微软雅黑"/>
          <w:b/>
          <w:bCs/>
        </w:rPr>
      </w:pPr>
      <w:r/>
      <w:hyperlink w:tooltip="#_Toc52" w:anchor="_Toc52" w:history="1">
        <w:r>
          <w:rPr>
            <w:rStyle w:val="1189"/>
          </w:rPr>
        </w:r>
        <w:r>
          <w:rPr>
            <w:rStyle w:val="1189"/>
            <w:rFonts w:hint="eastAsia" w:ascii="微软雅黑" w:hAnsi="微软雅黑" w:eastAsia="微软雅黑" w:cs="微软雅黑"/>
            <w:b/>
            <w:bCs/>
          </w:rPr>
          <w:t xml:space="preserve">一、投标函、投标报价及项目相关文件</w:t>
        </w:r>
        <w:r>
          <w:rPr>
            <w:rStyle w:val="1189"/>
          </w:rPr>
        </w:r>
        <w:r>
          <w:tab/>
        </w:r>
        <w:r>
          <w:fldChar w:fldCharType="begin"/>
          <w:instrText xml:space="preserve">PAGEREF _Toc52 \h</w:instrText>
          <w:fldChar w:fldCharType="separate"/>
          <w:t xml:space="preserve">42</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rPr>
      </w:pPr>
      <w:r/>
      <w:hyperlink w:tooltip="#_Toc53" w:anchor="_Toc53" w:history="1">
        <w:r>
          <w:rPr>
            <w:rStyle w:val="1189"/>
          </w:rPr>
        </w:r>
        <w:r>
          <w:rPr>
            <w:rStyle w:val="1189"/>
            <w:rFonts w:hint="eastAsia" w:ascii="微软雅黑" w:hAnsi="微软雅黑" w:eastAsia="微软雅黑" w:cs="微软雅黑"/>
            <w:b/>
          </w:rPr>
          <w:t xml:space="preserve">1.投标函</w:t>
        </w:r>
        <w:r>
          <w:rPr>
            <w:rStyle w:val="1189"/>
          </w:rPr>
        </w:r>
        <w:r>
          <w:tab/>
        </w:r>
        <w:r>
          <w:fldChar w:fldCharType="begin"/>
          <w:instrText xml:space="preserve">PAGEREF _Toc53 \h</w:instrText>
          <w:fldChar w:fldCharType="separate"/>
          <w:t xml:space="preserve">42</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54" w:anchor="_Toc54" w:history="1">
        <w:r>
          <w:rPr>
            <w:rStyle w:val="1189"/>
          </w:rPr>
        </w:r>
        <w:r>
          <w:rPr>
            <w:rStyle w:val="1189"/>
            <w:rFonts w:hint="eastAsia" w:ascii="微软雅黑" w:hAnsi="微软雅黑" w:eastAsia="微软雅黑" w:cs="微软雅黑"/>
            <w:b/>
          </w:rPr>
          <w:t xml:space="preserve">2.开标一览表</w:t>
        </w:r>
        <w:r>
          <w:rPr>
            <w:rStyle w:val="1189"/>
          </w:rPr>
        </w:r>
        <w:r>
          <w:tab/>
        </w:r>
        <w:r>
          <w:fldChar w:fldCharType="begin"/>
          <w:instrText xml:space="preserve">PAGEREF _Toc54 \h</w:instrText>
          <w:fldChar w:fldCharType="separate"/>
          <w:t xml:space="preserve">42</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bCs/>
        </w:rPr>
      </w:pPr>
      <w:r/>
      <w:hyperlink w:tooltip="#_Toc55" w:anchor="_Toc55" w:history="1">
        <w:r>
          <w:rPr>
            <w:rStyle w:val="1189"/>
          </w:rPr>
        </w:r>
        <w:r>
          <w:rPr>
            <w:rStyle w:val="1189"/>
            <w:rFonts w:hint="eastAsia" w:ascii="微软雅黑" w:hAnsi="微软雅黑" w:eastAsia="微软雅黑" w:cs="微软雅黑"/>
            <w:b/>
            <w:bCs/>
          </w:rPr>
          <w:t xml:space="preserve">3.技术要求响应表</w:t>
        </w:r>
        <w:r>
          <w:rPr>
            <w:rStyle w:val="1189"/>
          </w:rPr>
        </w:r>
        <w:r>
          <w:tab/>
        </w:r>
        <w:r>
          <w:fldChar w:fldCharType="begin"/>
          <w:instrText xml:space="preserve">PAGEREF _Toc55 \h</w:instrText>
          <w:fldChar w:fldCharType="separate"/>
          <w:t xml:space="preserve">44</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rPr>
      </w:pPr>
      <w:r/>
      <w:hyperlink w:tooltip="#_Toc56" w:anchor="_Toc56" w:history="1">
        <w:r>
          <w:rPr>
            <w:rStyle w:val="1189"/>
          </w:rPr>
        </w:r>
        <w:r>
          <w:rPr>
            <w:rStyle w:val="1189"/>
            <w:rFonts w:hint="eastAsia" w:ascii="微软雅黑" w:hAnsi="微软雅黑" w:eastAsia="微软雅黑" w:cs="微软雅黑"/>
            <w:b/>
          </w:rPr>
          <w:t xml:space="preserve">4.商务要求响应表</w:t>
        </w:r>
        <w:r>
          <w:rPr>
            <w:rStyle w:val="1189"/>
          </w:rPr>
        </w:r>
        <w:r>
          <w:tab/>
        </w:r>
        <w:r>
          <w:fldChar w:fldCharType="begin"/>
          <w:instrText xml:space="preserve">PAGEREF _Toc56 \h</w:instrText>
          <w:fldChar w:fldCharType="separate"/>
          <w:t xml:space="preserve">45</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57" w:anchor="_Toc57" w:history="1">
        <w:r>
          <w:rPr>
            <w:rStyle w:val="1189"/>
          </w:rPr>
        </w:r>
        <w:r>
          <w:rPr>
            <w:rStyle w:val="1189"/>
            <w:rFonts w:hint="eastAsia" w:ascii="微软雅黑" w:hAnsi="微软雅黑" w:eastAsia="微软雅黑" w:cs="微软雅黑"/>
            <w:b/>
          </w:rPr>
          <w:t xml:space="preserve">5.项目实施方案</w:t>
        </w:r>
        <w:r>
          <w:rPr>
            <w:rStyle w:val="1189"/>
          </w:rPr>
        </w:r>
        <w:r>
          <w:tab/>
        </w:r>
        <w:r>
          <w:fldChar w:fldCharType="begin"/>
          <w:instrText xml:space="preserve">PAGEREF _Toc57 \h</w:instrText>
          <w:fldChar w:fldCharType="separate"/>
          <w:t xml:space="preserve">46</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58" w:anchor="_Toc58" w:history="1">
        <w:r>
          <w:rPr>
            <w:rStyle w:val="1189"/>
          </w:rPr>
        </w:r>
        <w:r>
          <w:rPr>
            <w:rStyle w:val="1189"/>
            <w:rFonts w:hint="eastAsia" w:ascii="微软雅黑" w:hAnsi="微软雅黑" w:eastAsia="微软雅黑" w:cs="微软雅黑"/>
            <w:b/>
          </w:rPr>
          <w:t xml:space="preserve">6.售后服务方案</w:t>
        </w:r>
        <w:r>
          <w:rPr>
            <w:rStyle w:val="1189"/>
          </w:rPr>
        </w:r>
        <w:r>
          <w:tab/>
        </w:r>
        <w:r>
          <w:fldChar w:fldCharType="begin"/>
          <w:instrText xml:space="preserve">PAGEREF _Toc58 \h</w:instrText>
          <w:fldChar w:fldCharType="separate"/>
          <w:t xml:space="preserve">46</w:t>
          <w:fldChar w:fldCharType="end"/>
        </w:r>
      </w:hyperlink>
      <w:r>
        <w:rPr>
          <w:rFonts w:ascii="微软雅黑" w:hAnsi="微软雅黑" w:eastAsia="微软雅黑" w:cs="微软雅黑"/>
          <w:b/>
        </w:rPr>
      </w:r>
      <w:r/>
    </w:p>
    <w:p>
      <w:pPr>
        <w:pStyle w:val="1169"/>
        <w:tabs>
          <w:tab w:val="right" w:pos="8300" w:leader="dot"/>
        </w:tabs>
        <w:rPr>
          <w:rFonts w:ascii="微软雅黑" w:hAnsi="微软雅黑" w:eastAsia="微软雅黑" w:cs="微软雅黑"/>
          <w:b/>
        </w:rPr>
      </w:pPr>
      <w:r/>
      <w:hyperlink w:tooltip="#_Toc59" w:anchor="_Toc59" w:history="1">
        <w:r>
          <w:rPr>
            <w:rStyle w:val="1189"/>
          </w:rPr>
        </w:r>
        <w:r>
          <w:rPr>
            <w:rStyle w:val="1189"/>
            <w:rFonts w:hint="eastAsia" w:ascii="微软雅黑" w:hAnsi="微软雅黑" w:eastAsia="微软雅黑" w:cs="微软雅黑"/>
            <w:b/>
          </w:rPr>
          <w:t xml:space="preserve">7.经营业绩（提供合同复印件）</w:t>
        </w:r>
        <w:r>
          <w:rPr>
            <w:rStyle w:val="1189"/>
          </w:rPr>
        </w:r>
        <w:r>
          <w:tab/>
        </w:r>
        <w:r>
          <w:fldChar w:fldCharType="begin"/>
          <w:instrText xml:space="preserve">PAGEREF _Toc59 \h</w:instrText>
          <w:fldChar w:fldCharType="separate"/>
          <w:t xml:space="preserve">47</w:t>
          <w:fldChar w:fldCharType="end"/>
        </w:r>
      </w:hyperlink>
      <w:r>
        <w:rPr>
          <w:rFonts w:ascii="微软雅黑" w:hAnsi="微软雅黑" w:eastAsia="微软雅黑" w:cs="微软雅黑"/>
          <w:b/>
        </w:rPr>
      </w:r>
      <w:r/>
    </w:p>
    <w:p>
      <w:pPr>
        <w:pStyle w:val="1181"/>
        <w:tabs>
          <w:tab w:val="right" w:pos="8300" w:leader="dot"/>
        </w:tabs>
        <w:rPr>
          <w:rFonts w:ascii="微软雅黑" w:hAnsi="微软雅黑" w:eastAsia="微软雅黑" w:cs="微软雅黑"/>
          <w:b/>
          <w:bCs/>
        </w:rPr>
      </w:pPr>
      <w:r/>
      <w:hyperlink w:tooltip="#_Toc60" w:anchor="_Toc60" w:history="1">
        <w:r>
          <w:rPr>
            <w:rStyle w:val="1189"/>
          </w:rPr>
        </w:r>
        <w:r>
          <w:rPr>
            <w:rStyle w:val="1189"/>
            <w:rFonts w:hint="eastAsia" w:ascii="微软雅黑" w:hAnsi="微软雅黑" w:eastAsia="微软雅黑" w:cs="微软雅黑"/>
            <w:b/>
            <w:bCs/>
          </w:rPr>
          <w:t xml:space="preserve">二、其他相关附表格式</w:t>
        </w:r>
        <w:r>
          <w:rPr>
            <w:rStyle w:val="1189"/>
          </w:rPr>
        </w:r>
        <w:r>
          <w:tab/>
        </w:r>
        <w:r>
          <w:fldChar w:fldCharType="begin"/>
          <w:instrText xml:space="preserve">PAGEREF _Toc60 \h</w:instrText>
          <w:fldChar w:fldCharType="separate"/>
          <w:t xml:space="preserve">48</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bCs/>
        </w:rPr>
      </w:pPr>
      <w:r/>
      <w:hyperlink w:tooltip="#_Toc61" w:anchor="_Toc61" w:history="1">
        <w:r>
          <w:rPr>
            <w:rStyle w:val="1189"/>
          </w:rPr>
        </w:r>
        <w:r>
          <w:rPr>
            <w:rStyle w:val="1189"/>
            <w:rFonts w:hint="eastAsia" w:ascii="微软雅黑" w:hAnsi="微软雅黑" w:eastAsia="微软雅黑" w:cs="微软雅黑"/>
            <w:b/>
            <w:bCs/>
          </w:rPr>
          <w:t xml:space="preserve">1.法人授权委托书</w:t>
        </w:r>
        <w:r>
          <w:rPr>
            <w:rStyle w:val="1189"/>
          </w:rPr>
        </w:r>
        <w:r>
          <w:tab/>
        </w:r>
        <w:r>
          <w:fldChar w:fldCharType="begin"/>
          <w:instrText xml:space="preserve">PAGEREF _Toc61 \h</w:instrText>
          <w:fldChar w:fldCharType="separate"/>
          <w:t xml:space="preserve">48</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bCs/>
        </w:rPr>
      </w:pPr>
      <w:r/>
      <w:hyperlink w:tooltip="#_Toc62" w:anchor="_Toc62" w:history="1">
        <w:r>
          <w:rPr>
            <w:rStyle w:val="1189"/>
          </w:rPr>
        </w:r>
        <w:r>
          <w:rPr>
            <w:rStyle w:val="1189"/>
            <w:rFonts w:hint="eastAsia" w:ascii="微软雅黑" w:hAnsi="微软雅黑" w:eastAsia="微软雅黑" w:cs="微软雅黑"/>
            <w:b/>
            <w:bCs/>
          </w:rPr>
          <w:t xml:space="preserve">2.声明</w:t>
        </w:r>
        <w:r>
          <w:rPr>
            <w:rStyle w:val="1189"/>
            <w:rFonts w:hint="eastAsia" w:ascii="微软雅黑" w:hAnsi="微软雅黑" w:eastAsia="微软雅黑" w:cs="微软雅黑"/>
            <w:b/>
            <w:bCs/>
          </w:rPr>
          <w:t xml:space="preserve">（参考格式）</w:t>
        </w:r>
        <w:r>
          <w:rPr>
            <w:rStyle w:val="1189"/>
          </w:rPr>
        </w:r>
        <w:r>
          <w:tab/>
        </w:r>
        <w:r>
          <w:fldChar w:fldCharType="begin"/>
          <w:instrText xml:space="preserve">PAGEREF _Toc62 \h</w:instrText>
          <w:fldChar w:fldCharType="separate"/>
          <w:t xml:space="preserve">49</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bCs/>
        </w:rPr>
      </w:pPr>
      <w:r/>
      <w:hyperlink w:tooltip="#_Toc63" w:anchor="_Toc63" w:history="1">
        <w:r>
          <w:rPr>
            <w:rStyle w:val="1189"/>
          </w:rPr>
        </w:r>
        <w:r>
          <w:rPr>
            <w:rStyle w:val="1189"/>
            <w:rFonts w:hint="eastAsia" w:ascii="微软雅黑" w:hAnsi="微软雅黑" w:eastAsia="微软雅黑" w:cs="微软雅黑"/>
            <w:b/>
            <w:bCs/>
          </w:rPr>
          <w:t xml:space="preserve">3.承诺（参考格式）</w:t>
        </w:r>
        <w:r>
          <w:rPr>
            <w:rStyle w:val="1189"/>
          </w:rPr>
        </w:r>
        <w:r>
          <w:tab/>
        </w:r>
        <w:r>
          <w:fldChar w:fldCharType="begin"/>
          <w:instrText xml:space="preserve">PAGEREF _Toc63 \h</w:instrText>
          <w:fldChar w:fldCharType="separate"/>
          <w:t xml:space="preserve">50</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bCs/>
        </w:rPr>
      </w:pPr>
      <w:r/>
      <w:hyperlink w:tooltip="#_Toc64" w:anchor="_Toc64" w:history="1">
        <w:r>
          <w:rPr>
            <w:rStyle w:val="1189"/>
          </w:rPr>
        </w:r>
        <w:r>
          <w:rPr>
            <w:rStyle w:val="1189"/>
            <w:rFonts w:hint="eastAsia" w:ascii="微软雅黑" w:hAnsi="微软雅黑" w:eastAsia="微软雅黑" w:cs="微软雅黑"/>
            <w:b/>
            <w:bCs/>
          </w:rPr>
          <w:t xml:space="preserve">附件1.中小企业声明函</w:t>
        </w:r>
        <w:r>
          <w:rPr>
            <w:rStyle w:val="1189"/>
          </w:rPr>
        </w:r>
        <w:r>
          <w:tab/>
        </w:r>
        <w:r>
          <w:fldChar w:fldCharType="begin"/>
          <w:instrText xml:space="preserve">PAGEREF _Toc64 \h</w:instrText>
          <w:fldChar w:fldCharType="separate"/>
          <w:t xml:space="preserve">51</w:t>
          <w:fldChar w:fldCharType="end"/>
        </w:r>
      </w:hyperlink>
      <w:r>
        <w:rPr>
          <w:rFonts w:ascii="微软雅黑" w:hAnsi="微软雅黑" w:eastAsia="微软雅黑" w:cs="微软雅黑"/>
          <w:b/>
          <w:bCs/>
        </w:rPr>
      </w:r>
      <w:r/>
    </w:p>
    <w:p>
      <w:pPr>
        <w:pStyle w:val="1169"/>
        <w:tabs>
          <w:tab w:val="right" w:pos="8300" w:leader="dot"/>
        </w:tabs>
        <w:rPr>
          <w:rFonts w:ascii="微软雅黑" w:hAnsi="微软雅黑" w:eastAsia="微软雅黑" w:cs="微软雅黑"/>
          <w:b/>
          <w:bCs/>
        </w:rPr>
      </w:pPr>
      <w:r/>
      <w:hyperlink w:tooltip="#_Toc65" w:anchor="_Toc65" w:history="1">
        <w:r>
          <w:rPr>
            <w:rStyle w:val="1189"/>
          </w:rPr>
        </w:r>
        <w:r>
          <w:rPr>
            <w:rStyle w:val="1189"/>
            <w:rFonts w:hint="eastAsia" w:ascii="微软雅黑" w:hAnsi="微软雅黑" w:eastAsia="微软雅黑" w:cs="微软雅黑"/>
            <w:b/>
            <w:bCs/>
          </w:rPr>
          <w:t xml:space="preserve">附件2.残疾人福利性单位声明函</w:t>
        </w:r>
        <w:r>
          <w:rPr>
            <w:rStyle w:val="1189"/>
          </w:rPr>
        </w:r>
        <w:r>
          <w:tab/>
        </w:r>
        <w:r>
          <w:fldChar w:fldCharType="begin"/>
          <w:instrText xml:space="preserve">PAGEREF _Toc65 \h</w:instrText>
          <w:fldChar w:fldCharType="separate"/>
          <w:t xml:space="preserve">53</w:t>
          <w:fldChar w:fldCharType="end"/>
        </w:r>
      </w:hyperlink>
      <w:r>
        <w:rPr>
          <w:rFonts w:ascii="微软雅黑" w:hAnsi="微软雅黑" w:eastAsia="微软雅黑" w:cs="微软雅黑"/>
          <w:b/>
          <w:bCs/>
        </w:rPr>
      </w:r>
      <w:r/>
    </w:p>
    <w:p>
      <w:pPr>
        <w:rPr>
          <w:rFonts w:ascii="微软雅黑" w:hAnsi="微软雅黑" w:cs="微软雅黑"/>
        </w:rPr>
      </w:pPr>
      <w:r>
        <w:rPr>
          <w:rFonts w:hint="eastAsia"/>
        </w:rPr>
      </w:r>
      <w:r>
        <w:rPr>
          <w:rFonts w:hint="eastAsia" w:ascii="微软雅黑" w:hAnsi="微软雅黑" w:cs="微软雅黑"/>
        </w:rPr>
        <w:fldChar w:fldCharType="end"/>
      </w:r>
      <w:r/>
    </w:p>
    <w:p>
      <w:r/>
      <w:r/>
    </w:p>
    <w:p>
      <w:r/>
      <w:r/>
    </w:p>
    <w:p>
      <w:pPr>
        <w:pStyle w:val="1158"/>
        <w:spacing w:line="360" w:lineRule="exact"/>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
    </w:p>
    <w:p>
      <w:pPr>
        <w:pStyle w:val="1348"/>
        <w:keepNext w:val="0"/>
        <w:spacing w:line="360" w:lineRule="exact"/>
        <w:rPr>
          <w:rStyle w:val="1398"/>
          <w:rFonts w:ascii="微软雅黑" w:hAnsi="微软雅黑" w:cs="微软雅黑"/>
          <w:sz w:val="32"/>
          <w:szCs w:val="32"/>
        </w:rPr>
      </w:pPr>
      <w:r/>
      <w:bookmarkStart w:id="367" w:name="_Toc1"/>
      <w:r>
        <w:rPr>
          <w:rFonts w:hint="eastAsia" w:ascii="微软雅黑" w:hAnsi="微软雅黑" w:cs="微软雅黑"/>
          <w:bCs w:val="0"/>
          <w:szCs w:val="32"/>
        </w:rPr>
        <w:t xml:space="preserve">第一章 投标邀请（采购公告</w:t>
      </w:r>
      <w:r>
        <w:rPr>
          <w:rFonts w:hint="eastAsia" w:ascii="微软雅黑" w:hAnsi="微软雅黑" w:cs="微软雅黑"/>
          <w:bCs w:val="0"/>
          <w:szCs w:val="32"/>
        </w:rPr>
        <w:t xml:space="preserve">）</w:t>
      </w:r>
      <w:bookmarkEnd w:id="1"/>
      <w:r/>
      <w:bookmarkEnd w:id="367"/>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rPr>
        <w:t xml:space="preserve">南京市六合区人民法院2026-2027年度食堂食材采购</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rPr>
        <w:t xml:space="preserve">江苏省政府采购管理交易系统（苏采云）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w:t>
      </w:r>
      <w:r>
        <w:rPr>
          <w:rFonts w:hint="eastAsia" w:ascii="微软雅黑" w:hAnsi="微软雅黑" w:cs="微软雅黑"/>
          <w:szCs w:val="21"/>
        </w:rPr>
        <w:t xml:space="preserve">2026年06月04日9:30:00</w:t>
      </w:r>
      <w:r>
        <w:rPr>
          <w:rFonts w:hint="eastAsia" w:ascii="微软雅黑" w:hAnsi="微软雅黑" w:cs="微软雅黑"/>
          <w:bCs/>
          <w:szCs w:val="21"/>
        </w:rPr>
        <w:t xml:space="preserve">（北京时间）前递交投标文件</w:t>
      </w:r>
      <w:r>
        <w:rPr>
          <w:rFonts w:hint="eastAsia" w:ascii="微软雅黑" w:hAnsi="微软雅黑" w:cs="微软雅黑"/>
          <w:szCs w:val="21"/>
        </w:rPr>
        <w:t xml:space="preserve">。</w:t>
      </w:r>
      <w:r/>
    </w:p>
    <w:p>
      <w:pPr>
        <w:spacing w:line="420" w:lineRule="exact"/>
        <w:rPr>
          <w:rFonts w:ascii="微软雅黑" w:hAnsi="微软雅黑" w:cs="微软雅黑"/>
          <w:szCs w:val="21"/>
        </w:rPr>
      </w:pPr>
      <w:r/>
      <w:bookmarkStart w:id="10" w:name="_Hlk24379207"/>
      <w:r>
        <w:rPr>
          <w:rFonts w:hint="eastAsia" w:ascii="微软雅黑" w:hAnsi="微软雅黑" w:cs="微软雅黑"/>
          <w:b/>
          <w:bCs/>
        </w:rPr>
        <w:t xml:space="preserve">一、项目基本情况</w:t>
      </w:r>
      <w:r/>
    </w:p>
    <w:p>
      <w:pPr>
        <w:ind w:right="105" w:firstLine="420"/>
        <w:spacing w:line="420" w:lineRule="exact"/>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szCs w:val="21"/>
        </w:rPr>
        <w:t xml:space="preserve">项目编号：</w:t>
      </w:r>
      <w:r>
        <w:rPr>
          <w:rFonts w:hint="eastAsia" w:ascii="微软雅黑" w:hAnsi="微软雅黑" w:cs="微软雅黑"/>
          <w:color w:val="000000" w:themeColor="text1"/>
          <w:szCs w:val="21"/>
          <w14:textFill>
            <w14:solidFill>
              <w14:schemeClr w14:val="tx1"/>
            </w14:solidFill>
          </w14:textFill>
        </w:rPr>
        <w:t xml:space="preserve">JSZC-320116-JSHC-G2026-0011</w:t>
      </w:r>
      <w:r/>
    </w:p>
    <w:p>
      <w:pPr>
        <w:ind w:right="105" w:firstLine="1470"/>
        <w:spacing w:line="420" w:lineRule="exact"/>
        <w:rPr>
          <w:rFonts w:ascii="微软雅黑" w:hAnsi="微软雅黑" w:cs="微软雅黑"/>
          <w:szCs w:val="21"/>
        </w:rPr>
      </w:pPr>
      <w:r>
        <w:rPr>
          <w:rFonts w:hint="eastAsia" w:ascii="微软雅黑" w:hAnsi="微软雅黑" w:cs="微软雅黑"/>
          <w:szCs w:val="21"/>
        </w:rPr>
        <w:t xml:space="preserve">（代理机构内部编号：JSHC-2026040202B2）</w:t>
      </w:r>
      <w:r/>
    </w:p>
    <w:p>
      <w:pPr>
        <w:ind w:right="105" w:firstLine="420"/>
        <w:spacing w:line="420" w:lineRule="exact"/>
        <w:rPr>
          <w:rFonts w:ascii="微软雅黑" w:hAnsi="微软雅黑" w:cs="微软雅黑"/>
          <w:szCs w:val="21"/>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：南京市六合区人民法院2026-2027年度食堂食材采购</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预算金额：人民币壹佰陆拾伍万元整（人民币165万元）</w:t>
      </w:r>
      <w:r/>
    </w:p>
    <w:p>
      <w:pPr>
        <w:ind w:firstLine="420"/>
        <w:spacing w:line="420" w:lineRule="exact"/>
        <w:rPr>
          <w:rFonts w:ascii="微软雅黑" w:hAnsi="微软雅黑" w:cs="微软雅黑"/>
          <w:color w:val="auto"/>
          <w:szCs w:val="21"/>
        </w:rPr>
      </w:pPr>
      <w:r>
        <w:rPr>
          <w:rFonts w:hint="eastAsia" w:ascii="微软雅黑" w:hAnsi="微软雅黑" w:cs="微软雅黑"/>
          <w:szCs w:val="21"/>
        </w:rPr>
        <w:t xml:space="preserve">最高限价：人民币壹佰陆</w:t>
      </w:r>
      <w:r>
        <w:rPr>
          <w:rFonts w:hint="eastAsia" w:ascii="微软雅黑" w:hAnsi="微软雅黑" w:cs="微软雅黑"/>
          <w:color w:val="auto"/>
          <w:szCs w:val="21"/>
        </w:rPr>
        <w:t xml:space="preserve">拾伍万元整（人民币165万元）</w:t>
      </w:r>
      <w:r/>
    </w:p>
    <w:p>
      <w:pPr>
        <w:ind w:firstLine="420"/>
        <w:spacing w:line="420" w:lineRule="exact"/>
        <w:rPr>
          <w:rFonts w:ascii="微软雅黑" w:hAnsi="微软雅黑" w:cs="微软雅黑"/>
          <w:color w:val="auto"/>
          <w:szCs w:val="21"/>
        </w:rPr>
      </w:pPr>
      <w:r>
        <w:rPr>
          <w:rFonts w:hint="eastAsia" w:ascii="微软雅黑" w:hAnsi="微软雅黑" w:cs="微软雅黑"/>
          <w:color w:val="auto"/>
          <w:szCs w:val="21"/>
        </w:rPr>
        <w:t xml:space="preserve">资金来源：财政性资金</w:t>
      </w:r>
      <w:r/>
    </w:p>
    <w:p>
      <w:pPr>
        <w:ind w:firstLine="420"/>
        <w:spacing w:line="420" w:lineRule="exact"/>
        <w:rPr>
          <w:rFonts w:ascii="宋体" w:hAnsi="宋体" w:cs="宋体"/>
          <w:color w:val="auto"/>
          <w:szCs w:val="21"/>
        </w:rPr>
      </w:pPr>
      <w:r>
        <w:rPr>
          <w:rFonts w:hint="eastAsia" w:ascii="微软雅黑" w:hAnsi="微软雅黑" w:cs="微软雅黑"/>
          <w:color w:val="auto"/>
          <w:szCs w:val="21"/>
        </w:rPr>
        <w:t xml:space="preserve">采购需求：南京市六合区人民法院2026-2027年度食堂食材采购，采购内容包括米面杂粮类、方便速食、豆制品类、酱菜类、干货调料、肉品冻货、水产类、禽蛋类、畜禽肉、蔬果类、食用油类、牛奶类等。具体详见采购文件第四章。</w:t>
      </w:r>
      <w:r/>
    </w:p>
    <w:p>
      <w:pPr>
        <w:ind w:firstLine="420"/>
        <w:jc w:val="left"/>
        <w:spacing w:line="420" w:lineRule="exact"/>
        <w:rPr>
          <w:rFonts w:ascii="微软雅黑" w:hAnsi="微软雅黑" w:cs="微软雅黑"/>
          <w:color w:val="auto"/>
          <w:szCs w:val="21"/>
        </w:rPr>
      </w:pPr>
      <w:r>
        <w:rPr>
          <w:rFonts w:hint="eastAsia" w:ascii="微软雅黑" w:hAnsi="微软雅黑" w:cs="微软雅黑"/>
          <w:color w:val="auto"/>
          <w:szCs w:val="21"/>
        </w:rPr>
        <w:t xml:space="preserve">合同履行期限：合同签订之日起1年。</w:t>
      </w:r>
      <w:r/>
    </w:p>
    <w:p>
      <w:pPr>
        <w:ind w:firstLine="420"/>
        <w:spacing w:line="420" w:lineRule="exact"/>
        <w:rPr>
          <w:rFonts w:ascii="微软雅黑" w:hAnsi="微软雅黑" w:cs="微软雅黑"/>
          <w:color w:val="auto"/>
          <w:szCs w:val="21"/>
        </w:rPr>
      </w:pPr>
      <w:r>
        <w:rPr>
          <w:rFonts w:hint="eastAsia" w:ascii="微软雅黑" w:hAnsi="微软雅黑" w:cs="微软雅黑"/>
          <w:color w:val="auto"/>
          <w:szCs w:val="21"/>
        </w:rPr>
        <w:t xml:space="preserve">本项目（</w:t>
      </w:r>
      <w:r>
        <w:rPr>
          <w:rFonts w:hint="eastAsia" w:ascii="微软雅黑" w:hAnsi="微软雅黑" w:cs="微软雅黑"/>
          <w:i/>
          <w:color w:val="auto"/>
          <w:szCs w:val="21"/>
        </w:rPr>
        <w:t xml:space="preserve">是/否</w:t>
      </w:r>
      <w:r>
        <w:rPr>
          <w:rFonts w:hint="eastAsia" w:ascii="微软雅黑" w:hAnsi="微软雅黑" w:cs="微软雅黑"/>
          <w:color w:val="auto"/>
          <w:szCs w:val="21"/>
        </w:rPr>
        <w:t xml:space="preserve">）接受联合体：</w:t>
      </w:r>
      <w:r>
        <w:rPr>
          <w:rFonts w:hint="eastAsia" w:ascii="微软雅黑" w:hAnsi="微软雅黑" w:cs="微软雅黑"/>
          <w:b/>
          <w:bCs/>
          <w:color w:val="auto"/>
          <w:szCs w:val="21"/>
        </w:rPr>
        <w:t xml:space="preserve">否</w:t>
      </w:r>
      <w:r/>
    </w:p>
    <w:p>
      <w:pPr>
        <w:spacing w:line="420" w:lineRule="exact"/>
        <w:rPr>
          <w:rFonts w:ascii="微软雅黑" w:hAnsi="微软雅黑" w:cs="微软雅黑"/>
          <w:b/>
          <w:bCs/>
          <w:color w:val="auto"/>
        </w:rPr>
      </w:pPr>
      <w:r>
        <w:rPr>
          <w:rFonts w:hint="eastAsia" w:ascii="微软雅黑" w:hAnsi="微软雅黑" w:cs="微软雅黑"/>
          <w:b/>
          <w:bCs/>
          <w:color w:val="auto"/>
        </w:rPr>
        <w:t xml:space="preserve">二、申请人的资格要求：</w:t>
      </w:r>
      <w:r/>
    </w:p>
    <w:p>
      <w:pPr>
        <w:ind w:firstLine="420"/>
        <w:spacing w:line="420" w:lineRule="exact"/>
        <w:rPr>
          <w:rFonts w:ascii="微软雅黑" w:hAnsi="微软雅黑" w:cs="微软雅黑"/>
          <w:szCs w:val="21"/>
        </w:rPr>
      </w:pPr>
      <w:r>
        <w:rPr>
          <w:rFonts w:hint="eastAsia" w:ascii="微软雅黑" w:hAnsi="微软雅黑" w:cs="微软雅黑"/>
          <w:color w:val="auto"/>
          <w:szCs w:val="21"/>
        </w:rPr>
        <w:t xml:space="preserve">1.满足《中华人民共和国政府采购法》第</w:t>
      </w:r>
      <w:r>
        <w:rPr>
          <w:rFonts w:hint="eastAsia" w:ascii="微软雅黑" w:hAnsi="微软雅黑" w:cs="微软雅黑"/>
          <w:szCs w:val="21"/>
        </w:rPr>
        <w:t xml:space="preserve">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color w:val="000000" w:themeColor="text1"/>
          <w:szCs w:val="21"/>
          <w14:textFill>
            <w14:solidFill>
              <w14:schemeClr w14:val="tx1"/>
            </w14:solidFill>
          </w14:textFill>
        </w:rPr>
        <w:t xml:space="preserve">2025年11月至投标截止时间</w:t>
      </w:r>
      <w:r>
        <w:rPr>
          <w:rFonts w:hint="eastAsia" w:ascii="微软雅黑" w:hAnsi="微软雅黑" w:cs="微软雅黑"/>
          <w:szCs w:val="21"/>
        </w:rPr>
        <w:t xml:space="preserve">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2024/2025任意年度审计报告</w:t>
      </w:r>
      <w:r>
        <w:rPr>
          <w:rFonts w:hint="eastAsia" w:ascii="微软雅黑" w:hAnsi="微软雅黑" w:cs="微软雅黑"/>
          <w:b/>
          <w:bCs/>
          <w:szCs w:val="21"/>
        </w:rPr>
        <w:t xml:space="preserve">（包括报告及报告中所附的完整内容，并由注册会计师签名、盖章以及会计师事务所盖章）</w:t>
      </w:r>
      <w:r>
        <w:rPr>
          <w:rFonts w:hint="eastAsia" w:ascii="微软雅黑" w:hAnsi="微软雅黑" w:cs="微软雅黑"/>
          <w:szCs w:val="21"/>
        </w:rPr>
        <w:t xml:space="preserve">，</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color w:val="000000" w:themeColor="text1"/>
          <w:szCs w:val="21"/>
          <w14:textFill>
            <w14:solidFill>
              <w14:schemeClr w14:val="tx1"/>
            </w14:solidFill>
          </w14:textFill>
        </w:rPr>
        <w:t xml:space="preserve">2025年11月至投标截止时间</w:t>
      </w:r>
      <w:r>
        <w:rPr>
          <w:rFonts w:hint="eastAsia" w:ascii="微软雅黑" w:hAnsi="微软雅黑" w:cs="微软雅黑"/>
          <w:szCs w:val="21"/>
        </w:rPr>
        <w:t xml:space="preserve">前任一月份依法缴纳税收的凭据</w:t>
      </w:r>
      <w:r>
        <w:rPr>
          <w:rFonts w:hint="eastAsia" w:ascii="微软雅黑" w:hAnsi="微软雅黑" w:cs="微软雅黑"/>
          <w:b/>
          <w:bCs/>
          <w:szCs w:val="21"/>
        </w:rPr>
        <w:t xml:space="preserve">（企业代缴的个人所得税除外）</w:t>
      </w:r>
      <w:r>
        <w:rPr>
          <w:rFonts w:hint="eastAsia" w:ascii="微软雅黑" w:hAnsi="微软雅黑" w:cs="微软雅黑"/>
          <w:szCs w:val="21"/>
        </w:rPr>
        <w:t xml:space="preserve">，以及缴纳社会保险的凭据（专用收据或社会保险的凭据）。依法免税或不需要缴纳社会保障资金的投标供应商，应提供相应文件证明）；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ascii="微软雅黑" w:hAnsi="微软雅黑" w:cs="微软雅黑"/>
        </w:rPr>
      </w:pPr>
      <w:r>
        <w:rPr>
          <w:rFonts w:hint="eastAsia" w:ascii="微软雅黑" w:hAnsi="微软雅黑" w:cs="微软雅黑"/>
        </w:rPr>
        <w:t xml:space="preserve">2.</w:t>
      </w:r>
      <w:bookmarkStart w:id="18" w:name="OLE_LINK11"/>
      <w:r>
        <w:rPr>
          <w:rFonts w:hint="eastAsia" w:ascii="微软雅黑" w:hAnsi="微软雅黑" w:cs="微软雅黑"/>
        </w:rPr>
        <w:t xml:space="preserve">是否专门面向中小企业</w:t>
      </w:r>
      <w:r>
        <w:rPr>
          <w:rFonts w:hint="eastAsia" w:ascii="微软雅黑" w:hAnsi="微软雅黑" w:cs="微软雅黑"/>
        </w:rPr>
        <w:t xml:space="preserve">采购</w:t>
      </w:r>
      <w:r>
        <w:rPr>
          <w:rFonts w:hint="eastAsia" w:ascii="微软雅黑" w:hAnsi="微软雅黑" w:cs="微软雅黑"/>
        </w:rPr>
        <w:t xml:space="preserve">：否</w:t>
      </w:r>
      <w:bookmarkEnd w:id="18"/>
      <w:r/>
      <w:r/>
    </w:p>
    <w:p>
      <w:pPr>
        <w:ind w:firstLine="420"/>
        <w:spacing w:line="420" w:lineRule="exact"/>
        <w:rPr>
          <w:highlight w:val="none"/>
        </w:rPr>
      </w:pPr>
      <w:r>
        <w:rPr>
          <w:rFonts w:hint="eastAsia" w:ascii="微软雅黑" w:hAnsi="微软雅黑" w:cs="微软雅黑"/>
          <w:szCs w:val="21"/>
        </w:rPr>
        <w:t xml:space="preserve">3.采购项目需要</w:t>
      </w:r>
      <w:r>
        <w:rPr>
          <w:rFonts w:hint="eastAsia" w:ascii="微软雅黑" w:hAnsi="微软雅黑" w:cs="微软雅黑"/>
          <w:szCs w:val="21"/>
          <w:highlight w:val="none"/>
        </w:rPr>
        <w:t xml:space="preserve">落实的政府采购政策：</w:t>
      </w:r>
      <w:r>
        <w:rPr>
          <w:rFonts w:hint="eastAsia" w:ascii="微软雅黑" w:hAnsi="微软雅黑" w:cs="微软雅黑"/>
          <w:color w:val="000000"/>
          <w:szCs w:val="21"/>
          <w:highlight w:val="none"/>
        </w:rPr>
        <w:t xml:space="preserve">《政府采购促进中小企业发展管理办法》；《关于政府采购支持监狱企业发展有关问题的通知》；《关于促进残疾人就业政府采购政策的通知》</w:t>
      </w:r>
      <w:r>
        <w:rPr>
          <w:rFonts w:hint="eastAsia" w:ascii="微软雅黑" w:hAnsi="微软雅黑" w:cs="微软雅黑"/>
          <w:szCs w:val="21"/>
          <w:highlight w:val="none"/>
        </w:rPr>
        <w:t xml:space="preserve">。</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4.本项目的特定资格要求：投标人提供有效的《食品经营许可证》或《食品生产许可证》。</w:t>
      </w:r>
      <w:r/>
    </w:p>
    <w:p>
      <w:pPr>
        <w:ind w:firstLine="420"/>
        <w:spacing w:line="420" w:lineRule="exact"/>
        <w:rPr>
          <w:rFonts w:ascii="微软雅黑" w:hAnsi="微软雅黑" w:cs="微软雅黑"/>
          <w:highlight w:val="none"/>
        </w:rPr>
      </w:pPr>
      <w:r>
        <w:rPr>
          <w:rFonts w:hint="eastAsia" w:ascii="微软雅黑" w:hAnsi="微软雅黑" w:cs="微软雅黑"/>
          <w:szCs w:val="21"/>
          <w:highlight w:val="none"/>
        </w:rPr>
        <w:t xml:space="preserve">5.本项目不接受联合体投标</w:t>
      </w:r>
      <w:r>
        <w:rPr>
          <w:rFonts w:hint="eastAsia" w:ascii="微软雅黑" w:hAnsi="微软雅黑" w:cs="微软雅黑"/>
          <w:szCs w:val="21"/>
          <w:highlight w:val="none"/>
          <w:lang w:val="zh-CN"/>
        </w:rPr>
        <w:t xml:space="preserve">。</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highlight w:val="none"/>
        </w:rPr>
        <w:t xml:space="preserve">6.1为采购项目提供整体设</w:t>
      </w:r>
      <w:r>
        <w:rPr>
          <w:rFonts w:hint="eastAsia" w:ascii="微软雅黑" w:hAnsi="微软雅黑" w:cs="微软雅黑"/>
          <w:szCs w:val="21"/>
        </w:rPr>
        <w:t xml:space="preserve">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6.3.被“信用中国”网站(www.creditchina.gov.cn)或中国政府采购网(www.ccgp.gov.cn)列入失信被执行人、重大税收违法失信主体、政府采购严重违法失信行为记录名单的。</w:t>
      </w:r>
      <w:r/>
    </w:p>
    <w:p>
      <w:pPr>
        <w:rPr>
          <w:rFonts w:ascii="微软雅黑" w:hAnsi="微软雅黑" w:cs="微软雅黑"/>
          <w:b/>
          <w:bCs/>
        </w:rPr>
      </w:pPr>
      <w:r>
        <w:rPr>
          <w:rFonts w:hint="eastAsia" w:ascii="微软雅黑" w:hAnsi="微软雅黑" w:cs="微软雅黑"/>
          <w:b/>
          <w:bCs/>
        </w:rPr>
        <w:t xml:space="preserve">三、获取采购文件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时间：自公告发布之日起5个工作日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r/>
    </w:p>
    <w:p>
      <w:pPr>
        <w:spacing w:line="420" w:lineRule="exact"/>
        <w:rPr>
          <w:rFonts w:ascii="微软雅黑" w:hAnsi="微软雅黑" w:cs="微软雅黑"/>
          <w:b/>
          <w:szCs w:val="21"/>
        </w:rPr>
      </w:pPr>
      <w:r>
        <w:rPr>
          <w:rFonts w:hint="eastAsia" w:ascii="微软雅黑" w:hAnsi="微软雅黑" w:cs="微软雅黑"/>
          <w:b/>
          <w:szCs w:val="21"/>
        </w:rPr>
        <w:t xml:space="preserve">四、提交投标文件截止时间、开标时间和地点</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bCs/>
          <w:szCs w:val="21"/>
        </w:rPr>
        <w:t xml:space="preserve">2026年06月04日9:30:00</w:t>
      </w:r>
      <w:r>
        <w:rPr>
          <w:rFonts w:hint="eastAsia" w:ascii="微软雅黑" w:hAnsi="微软雅黑" w:cs="微软雅黑"/>
          <w:bCs/>
          <w:szCs w:val="21"/>
        </w:rPr>
        <w:t xml:space="preserve">（北京时间）</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p>
    <w:p>
      <w:pPr>
        <w:rPr>
          <w:rFonts w:ascii="微软雅黑" w:hAnsi="微软雅黑" w:cs="微软雅黑"/>
          <w:b/>
          <w:bCs/>
        </w:rPr>
      </w:pPr>
      <w:r>
        <w:rPr>
          <w:rFonts w:hint="eastAsia" w:ascii="微软雅黑" w:hAnsi="微软雅黑" w:cs="微软雅黑"/>
          <w:b/>
          <w:bCs/>
        </w:rPr>
        <w:t xml:space="preserve">五、公告期限</w:t>
      </w:r>
      <w:r/>
    </w:p>
    <w:p>
      <w:pPr>
        <w:ind w:firstLine="420"/>
        <w:spacing w:line="420" w:lineRule="exact"/>
        <w:rPr>
          <w:rFonts w:ascii="微软雅黑" w:hAnsi="微软雅黑" w:cs="微软雅黑"/>
        </w:rPr>
      </w:pPr>
      <w:r>
        <w:rPr>
          <w:rFonts w:hint="eastAsia" w:ascii="微软雅黑" w:hAnsi="微软雅黑" w:cs="微软雅黑"/>
          <w:szCs w:val="21"/>
        </w:rPr>
        <w:t xml:space="preserve">自本公告发布之日起5个工作日。</w:t>
      </w:r>
      <w:r/>
    </w:p>
    <w:p>
      <w:pPr>
        <w:rPr>
          <w:rFonts w:ascii="微软雅黑" w:hAnsi="微软雅黑" w:cs="微软雅黑"/>
          <w:b/>
          <w:bCs/>
        </w:rPr>
      </w:pPr>
      <w:r>
        <w:rPr>
          <w:rFonts w:hint="eastAsia" w:ascii="微软雅黑" w:hAnsi="微软雅黑" w:cs="微软雅黑"/>
          <w:b/>
          <w:bCs/>
        </w:rPr>
        <w:t xml:space="preserve">六、其他补充事宜</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 评审方法和标准：采用综合评分法。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2. 此采购公告在江苏政府采购网（http://www.ccgp-jiangsu.gov.cn）发布。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2" w:name="OLE_LINK2"/>
      <w:r>
        <w:rPr>
          <w:rFonts w:hint="eastAsia" w:ascii="微软雅黑" w:hAnsi="微软雅黑" w:cs="微软雅黑"/>
          <w:szCs w:val="21"/>
        </w:rPr>
        <w:t xml:space="preserve">http://www.ccgp-jiangsu.gov.cn/jiangsu/zlxz/ee/ee3a4bc5a3454aa2b0d9312230633ce9.html</w:t>
      </w:r>
      <w:bookmarkEnd w:id="32"/>
      <w:r>
        <w:rPr>
          <w:rFonts w:hint="eastAsia" w:ascii="微软雅黑" w:hAnsi="微软雅黑" w:cs="微软雅黑"/>
          <w:szCs w:val="21"/>
        </w:rPr>
        <w:t xml:space="preserve">）。</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 不见面远程开标：</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ascii="微软雅黑" w:hAnsi="微软雅黑" w:cs="微软雅黑"/>
          <w:b/>
          <w:bCs/>
        </w:rPr>
      </w:pPr>
      <w:r>
        <w:rPr>
          <w:rFonts w:hint="eastAsia" w:ascii="微软雅黑" w:hAnsi="微软雅黑" w:cs="微软雅黑"/>
          <w:b/>
          <w:bCs/>
        </w:rPr>
        <w:t xml:space="preserve">七、对本次招标提出询问，请按以下方式联系。</w:t>
      </w:r>
      <w:r/>
    </w:p>
    <w:p>
      <w:pPr>
        <w:pStyle w:val="1388"/>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名称：南京市六合区人民法院</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地址：南京市六合区龙池街道龙华东路2号</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联系方式：施元馨025-83183685</w:t>
      </w:r>
      <w:r/>
    </w:p>
    <w:p>
      <w:pPr>
        <w:pStyle w:val="1388"/>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w:t>
      </w:r>
      <w:r>
        <w:rPr>
          <w:rFonts w:hint="eastAsia" w:ascii="微软雅黑" w:hAnsi="微软雅黑" w:eastAsia="微软雅黑" w:cs="微软雅黑"/>
          <w:sz w:val="21"/>
          <w:szCs w:val="21"/>
          <w:lang w:bidi="ar"/>
        </w:rPr>
        <w:t xml:space="preserve">南京市建邺区嘉陵江东街8号综合体B3栋一单元16层</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r>
        <w:rPr>
          <w:rFonts w:hint="eastAsia" w:ascii="微软雅黑" w:hAnsi="微软雅黑" w:eastAsia="微软雅黑" w:cs="微软雅黑"/>
          <w:sz w:val="21"/>
          <w:szCs w:val="21"/>
        </w:rPr>
        <w:t xml:space="preserve">025-83609953</w:t>
      </w:r>
      <w:r/>
    </w:p>
    <w:p>
      <w:pPr>
        <w:pStyle w:val="1388"/>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项目联系人：刘洁/徐雪</w:t>
      </w:r>
      <w:r/>
    </w:p>
    <w:p>
      <w:pPr>
        <w:pStyle w:val="1388"/>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电话：025-83603368</w:t>
      </w:r>
      <w:r/>
    </w:p>
    <w:p>
      <w:pPr>
        <w:pStyle w:val="1388"/>
        <w:ind w:firstLine="688"/>
        <w:spacing w:before="0" w:beforeAutospacing="0" w:after="0" w:afterAutospacing="0" w:line="420" w:lineRule="exact"/>
        <w:rPr>
          <w:rFonts w:ascii="微软雅黑" w:hAnsi="微软雅黑" w:eastAsia="微软雅黑" w:cs="微软雅黑"/>
          <w:sz w:val="21"/>
          <w:szCs w:val="21"/>
        </w:rPr>
        <w:sectPr>
          <w:footnotePr/>
          <w:endnotePr/>
          <w:type w:val="nextPage"/>
          <w:pgSz w:w="11906" w:h="16838" w:orient="portrait"/>
          <w:pgMar w:top="1440" w:right="1803" w:bottom="1440" w:left="1803" w:header="851" w:footer="992" w:gutter="0"/>
          <w:cols w:num="1" w:sep="0" w:space="0" w:equalWidth="1"/>
          <w:docGrid w:linePitch="360"/>
        </w:sectPr>
      </w:pPr>
      <w:r>
        <w:rPr>
          <w:rFonts w:ascii="微软雅黑" w:hAnsi="微软雅黑" w:eastAsia="微软雅黑" w:cs="微软雅黑"/>
          <w:sz w:val="21"/>
          <w:szCs w:val="21"/>
        </w:rPr>
      </w:r>
      <w:r/>
    </w:p>
    <w:p>
      <w:pPr>
        <w:pStyle w:val="1348"/>
        <w:spacing w:line="360" w:lineRule="exact"/>
        <w:rPr>
          <w:rFonts w:ascii="微软雅黑" w:hAnsi="微软雅黑" w:cs="微软雅黑"/>
        </w:rPr>
      </w:pPr>
      <w:r/>
      <w:bookmarkStart w:id="368" w:name="_Toc2"/>
      <w:r>
        <w:rPr>
          <w:rFonts w:hint="eastAsia" w:ascii="微软雅黑" w:hAnsi="微软雅黑" w:cs="微软雅黑"/>
          <w:szCs w:val="32"/>
        </w:rPr>
        <w:t xml:space="preserve">第二章 </w:t>
      </w:r>
      <w:r>
        <w:rPr>
          <w:rFonts w:hint="eastAsia" w:ascii="微软雅黑" w:hAnsi="微软雅黑" w:cs="微软雅黑"/>
        </w:rPr>
        <w:t xml:space="preserve">供应商须知</w:t>
      </w:r>
      <w:bookmarkEnd w:id="368"/>
      <w:r/>
      <w:r/>
    </w:p>
    <w:p>
      <w:pPr>
        <w:jc w:val="left"/>
        <w:widowControl/>
        <w:rPr>
          <w:rFonts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p>
    <w:tbl>
      <w:tblPr>
        <w:tblStyle w:val="115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南京市六合区人民法院2026-2027年度食堂食材采购</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color w:val="000000" w:themeColor="text1"/>
                <w:szCs w:val="21"/>
                <w14:textFill>
                  <w14:solidFill>
                    <w14:schemeClr w14:val="tx1"/>
                  </w14:solidFill>
                </w14:textFill>
              </w:rPr>
              <w:t xml:space="preserve">JSZC-320116-JSHC-G2026-0011</w:t>
            </w:r>
            <w:r>
              <w:rPr>
                <w:rFonts w:hint="eastAsia" w:ascii="微软雅黑" w:hAnsi="微软雅黑" w:cs="微软雅黑"/>
                <w:szCs w:val="21"/>
              </w:rPr>
              <w:t xml:space="preserve">（代理机构内部编号：JSHC-2026040202B2）</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人民币壹佰陆拾伍万元整（人民币165万元）</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人民币壹佰陆拾伍万元整（人民币165万元）</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单位名称：南京市六合区人民法院</w:t>
            </w:r>
            <w:r/>
          </w:p>
          <w:p>
            <w:pPr>
              <w:spacing w:line="400" w:lineRule="exact"/>
              <w:rPr>
                <w:rFonts w:ascii="微软雅黑" w:hAnsi="微软雅黑" w:cs="微软雅黑"/>
                <w:szCs w:val="21"/>
              </w:rPr>
            </w:pPr>
            <w:r>
              <w:rPr>
                <w:rFonts w:hint="eastAsia" w:ascii="微软雅黑" w:hAnsi="微软雅黑" w:cs="微软雅黑"/>
                <w:szCs w:val="21"/>
              </w:rPr>
              <w:t xml:space="preserve">联系人：施元馨</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联系电话：025-83183685</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项目负责人：刘洁/徐雪</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rPr>
              <w:t xml:space="preserve">本项目不收取投标保证金。</w:t>
            </w:r>
            <w:r/>
          </w:p>
        </w:tc>
      </w:tr>
      <w:tr>
        <w:trPr>
          <w:jc w:val="center"/>
          <w:trHeight w:val="567" w:hRule="exact"/>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rPr>
            </w:pPr>
            <w:r>
              <w:rPr>
                <w:rFonts w:hint="eastAsia" w:ascii="微软雅黑" w:hAnsi="微软雅黑" w:cs="微软雅黑"/>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spacing w:line="400" w:lineRule="exact"/>
              <w:rPr>
                <w:rFonts w:ascii="微软雅黑" w:hAnsi="微软雅黑" w:cs="微软雅黑"/>
                <w:sz w:val="22"/>
              </w:rPr>
            </w:pPr>
            <w:r>
              <w:rPr>
                <w:rFonts w:hint="eastAsia" w:ascii="微软雅黑" w:hAnsi="微软雅黑" w:cs="微软雅黑"/>
                <w:szCs w:val="21"/>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开标注意事项</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rPr>
              <w:t xml:space="preserve">工业</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投标报价包括采购文件所规定的采购范围的全部内容。包括但不仅限于全部货物的价格及相关税费、运输到指定地点的装运费用、安装调试、培训、售后服务等其他有关的所有费用。</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7"/>
              </w:numPr>
              <w:spacing w:line="400" w:lineRule="exact"/>
              <w:rPr>
                <w:rFonts w:ascii="微软雅黑" w:hAnsi="微软雅黑" w:cs="微软雅黑"/>
              </w:rPr>
            </w:pPr>
            <w:r>
              <w:rPr>
                <w:rFonts w:hint="eastAsia" w:ascii="微软雅黑" w:hAnsi="微软雅黑" w:cs="微软雅黑"/>
              </w:rPr>
              <w:t xml:space="preserve">本次采购活动招标代理服务费为人民币6000元。</w:t>
            </w:r>
            <w:r/>
          </w:p>
          <w:p>
            <w:pPr>
              <w:numPr>
                <w:ilvl w:val="0"/>
                <w:numId w:val="7"/>
              </w:numPr>
              <w:spacing w:line="400" w:lineRule="exact"/>
              <w:rPr>
                <w:rFonts w:ascii="微软雅黑" w:hAnsi="微软雅黑" w:cs="微软雅黑"/>
              </w:rPr>
            </w:pPr>
            <w:r>
              <w:rPr>
                <w:rFonts w:hint="eastAsia" w:ascii="微软雅黑" w:hAnsi="微软雅黑" w:cs="微软雅黑"/>
              </w:rPr>
              <w:t xml:space="preserve">本次采购活动招标代理服务费由中标供应商支付，中标供应商领取《中标通知书》前一次性向采购代理机构缴纳。</w:t>
            </w:r>
            <w:r/>
          </w:p>
          <w:p>
            <w:pPr>
              <w:numPr>
                <w:ilvl w:val="0"/>
                <w:numId w:val="7"/>
              </w:numPr>
              <w:spacing w:line="400" w:lineRule="exact"/>
              <w:rPr>
                <w:rFonts w:ascii="微软雅黑" w:hAnsi="微软雅黑" w:cs="微软雅黑"/>
              </w:rPr>
            </w:pPr>
            <w:r>
              <w:rPr>
                <w:rFonts w:hint="eastAsia" w:ascii="微软雅黑" w:hAnsi="微软雅黑" w:cs="微软雅黑"/>
              </w:rPr>
              <w:t xml:space="preserve">本次招标代理服务费不包括有可能产生的专家复议费及由于摆放样品额外租赁场地产生的场地使用费等，如有产生此项费用由中标供应商额外按实支付。</w:t>
            </w:r>
            <w:r/>
          </w:p>
          <w:p>
            <w:pPr>
              <w:pStyle w:val="1167"/>
              <w:numPr>
                <w:ilvl w:val="0"/>
                <w:numId w:val="7"/>
              </w:numPr>
              <w:spacing w:line="400" w:lineRule="exact"/>
              <w:rPr>
                <w:rFonts w:ascii="微软雅黑" w:hAnsi="微软雅黑" w:cs="微软雅黑"/>
              </w:rPr>
            </w:pPr>
            <w:r>
              <w:rPr>
                <w:rFonts w:hint="eastAsia" w:ascii="微软雅黑" w:hAnsi="微软雅黑" w:cs="微软雅黑"/>
              </w:rPr>
              <w:t xml:space="preserve">收款信息：</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户名：江苏省华采招标有限公司</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开户行：招商银行南京奥体支行</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账号：1259 0737 5810 501</w:t>
            </w:r>
            <w:r/>
          </w:p>
          <w:p>
            <w:pPr>
              <w:pStyle w:val="1167"/>
              <w:ind w:left="0" w:firstLine="420"/>
              <w:spacing w:line="400" w:lineRule="exact"/>
              <w:rPr>
                <w:rFonts w:ascii="微软雅黑" w:hAnsi="微软雅黑" w:cs="微软雅黑"/>
                <w:szCs w:val="21"/>
              </w:rPr>
            </w:pPr>
            <w:r>
              <w:rPr>
                <w:rFonts w:hint="eastAsia" w:ascii="微软雅黑" w:hAnsi="微软雅黑" w:cs="微软雅黑"/>
                <w:szCs w:val="21"/>
              </w:rPr>
              <w:t xml:space="preserve">开户行行号：3083 0100 6254</w:t>
            </w:r>
            <w:r/>
          </w:p>
          <w:p>
            <w:r>
              <w:rPr>
                <w:rFonts w:hint="eastAsia" w:ascii="微软雅黑" w:hAnsi="微软雅黑" w:cs="微软雅黑"/>
                <w:szCs w:val="21"/>
              </w:rPr>
              <w:t xml:space="preserve">备注202B2代理服务费</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8"/>
              </w:numPr>
              <w:spacing w:line="400" w:lineRule="exact"/>
              <w:rPr>
                <w:rFonts w:ascii="微软雅黑" w:hAnsi="微软雅黑" w:cs="微软雅黑"/>
              </w:rPr>
            </w:pPr>
            <w:r>
              <w:rPr>
                <w:rFonts w:hint="eastAsia" w:ascii="微软雅黑" w:hAnsi="微软雅黑" w:cs="微软雅黑"/>
              </w:rPr>
              <w:t xml:space="preserve">有关本项目的相关公告敬请关注江苏政府采购网（www.ccgp-jiangsu.gov.cn），也可以与我公司项目部联系，联系人及电话：徐工025-83603368。</w:t>
            </w:r>
            <w:r/>
          </w:p>
          <w:p>
            <w:pPr>
              <w:pStyle w:val="1366"/>
              <w:numPr>
                <w:ilvl w:val="0"/>
                <w:numId w:val="8"/>
              </w:numPr>
              <w:spacing w:line="400" w:lineRule="exact"/>
              <w:rPr>
                <w:rFonts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p>
        </w:tc>
      </w:tr>
    </w:tbl>
    <w:p>
      <w:pPr>
        <w:pStyle w:val="1349"/>
        <w:spacing w:after="100"/>
        <w:rPr>
          <w:rFonts w:ascii="微软雅黑" w:hAnsi="微软雅黑" w:cs="微软雅黑"/>
        </w:rPr>
      </w:pPr>
      <w:r/>
      <w:bookmarkStart w:id="369" w:name="_Toc3"/>
      <w:r>
        <w:rPr>
          <w:rFonts w:hint="eastAsia" w:ascii="微软雅黑" w:hAnsi="微软雅黑" w:cs="微软雅黑"/>
        </w:rPr>
        <w:br w:type="page" w:clear="all"/>
      </w:r>
      <w:r>
        <w:rPr>
          <w:rFonts w:hint="eastAsia" w:ascii="微软雅黑" w:hAnsi="微软雅黑" w:cs="微软雅黑"/>
        </w:rPr>
        <w:t xml:space="preserve">一、总则</w:t>
      </w:r>
      <w:bookmarkEnd w:id="369"/>
      <w:r/>
      <w:r/>
    </w:p>
    <w:p>
      <w:pPr>
        <w:pStyle w:val="1193"/>
        <w:spacing w:line="420" w:lineRule="exact"/>
        <w:rPr>
          <w:rFonts w:ascii="微软雅黑" w:hAnsi="微软雅黑" w:cs="微软雅黑"/>
          <w:bCs w:val="0"/>
          <w:sz w:val="24"/>
          <w:szCs w:val="24"/>
        </w:rPr>
      </w:pPr>
      <w:r/>
      <w:bookmarkStart w:id="370" w:name="_Toc4"/>
      <w:r>
        <w:rPr>
          <w:rFonts w:hint="eastAsia" w:ascii="微软雅黑" w:hAnsi="微软雅黑" w:cs="微软雅黑"/>
          <w:bCs w:val="0"/>
          <w:sz w:val="24"/>
          <w:szCs w:val="24"/>
        </w:rPr>
        <w:t xml:space="preserve">1.1适用范围</w:t>
      </w:r>
      <w:bookmarkEnd w:id="370"/>
      <w:r/>
      <w:r/>
    </w:p>
    <w:p>
      <w:pPr>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p>
    <w:p>
      <w:pPr>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b/>
          <w:bCs/>
        </w:rPr>
        <w:t xml:space="preserve">南京市六合区人民法院</w:t>
      </w:r>
      <w:r>
        <w:rPr>
          <w:rFonts w:hint="eastAsia" w:ascii="微软雅黑" w:hAnsi="微软雅黑" w:cs="微软雅黑"/>
        </w:rPr>
        <w:t xml:space="preserve">。</w:t>
      </w:r>
      <w:r/>
    </w:p>
    <w:p>
      <w:pPr>
        <w:pStyle w:val="1193"/>
        <w:spacing w:line="420" w:lineRule="exact"/>
        <w:rPr>
          <w:rFonts w:ascii="微软雅黑" w:hAnsi="微软雅黑" w:cs="微软雅黑"/>
          <w:bCs w:val="0"/>
          <w:sz w:val="24"/>
          <w:szCs w:val="24"/>
        </w:rPr>
      </w:pPr>
      <w:r/>
      <w:bookmarkStart w:id="371" w:name="_Toc5"/>
      <w:r>
        <w:rPr>
          <w:rFonts w:hint="eastAsia" w:ascii="微软雅黑" w:hAnsi="微软雅黑" w:cs="微软雅黑"/>
          <w:bCs w:val="0"/>
          <w:sz w:val="24"/>
          <w:szCs w:val="24"/>
        </w:rPr>
        <w:t xml:space="preserve">1.2合格的</w:t>
      </w:r>
      <w:r>
        <w:rPr>
          <w:rFonts w:hint="eastAsia" w:ascii="微软雅黑" w:hAnsi="微软雅黑" w:cs="微软雅黑"/>
          <w:bCs w:val="0"/>
          <w:sz w:val="24"/>
          <w:szCs w:val="24"/>
        </w:rPr>
        <w:t xml:space="preserve">供应商</w:t>
      </w:r>
      <w:bookmarkEnd w:id="371"/>
      <w:r/>
      <w:r/>
    </w:p>
    <w:p>
      <w:pPr>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p>
    <w:p>
      <w:pPr>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p>
    <w:p>
      <w:pPr>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ascii="微软雅黑" w:hAnsi="微软雅黑" w:cs="微软雅黑"/>
        </w:rPr>
      </w:pPr>
      <w:r>
        <w:rPr>
          <w:rFonts w:hint="eastAsia" w:ascii="微软雅黑" w:hAnsi="微软雅黑" w:cs="微软雅黑"/>
        </w:rPr>
        <w:t xml:space="preserve">1.2.4联合体投标</w:t>
      </w:r>
      <w:r/>
    </w:p>
    <w:p>
      <w:pPr>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p>
    <w:p>
      <w:pPr>
        <w:pStyle w:val="1193"/>
        <w:spacing w:line="420" w:lineRule="exact"/>
        <w:rPr>
          <w:rFonts w:ascii="微软雅黑" w:hAnsi="微软雅黑" w:cs="微软雅黑"/>
          <w:bCs w:val="0"/>
          <w:sz w:val="24"/>
          <w:szCs w:val="24"/>
        </w:rPr>
      </w:pPr>
      <w:r/>
      <w:bookmarkStart w:id="372" w:name="_Toc6"/>
      <w:r>
        <w:rPr>
          <w:rFonts w:hint="eastAsia" w:ascii="微软雅黑" w:hAnsi="微软雅黑" w:cs="微软雅黑"/>
          <w:bCs w:val="0"/>
          <w:sz w:val="24"/>
          <w:szCs w:val="24"/>
        </w:rPr>
        <w:t xml:space="preserve">1.3</w:t>
      </w:r>
      <w:r>
        <w:rPr>
          <w:rFonts w:hint="eastAsia" w:ascii="微软雅黑" w:hAnsi="微软雅黑" w:cs="微软雅黑"/>
          <w:bCs w:val="0"/>
          <w:sz w:val="24"/>
          <w:szCs w:val="24"/>
        </w:rPr>
        <w:t xml:space="preserve">参加采购活动费用</w:t>
      </w:r>
      <w:bookmarkEnd w:id="372"/>
      <w:r/>
      <w:r/>
    </w:p>
    <w:p>
      <w:pPr>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p>
    <w:p>
      <w:pPr>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p>
    <w:p>
      <w:pPr>
        <w:pStyle w:val="1193"/>
        <w:spacing w:line="420" w:lineRule="exact"/>
        <w:rPr>
          <w:rFonts w:ascii="微软雅黑" w:hAnsi="微软雅黑" w:cs="微软雅黑"/>
          <w:bCs w:val="0"/>
          <w:sz w:val="24"/>
          <w:szCs w:val="24"/>
        </w:rPr>
      </w:pPr>
      <w:r/>
      <w:bookmarkStart w:id="373" w:name="_Toc7"/>
      <w:r>
        <w:rPr>
          <w:rFonts w:hint="eastAsia" w:ascii="微软雅黑" w:hAnsi="微软雅黑" w:cs="微软雅黑"/>
          <w:bCs w:val="0"/>
          <w:sz w:val="24"/>
          <w:szCs w:val="24"/>
        </w:rPr>
        <w:t xml:space="preserve">1.4法律适用</w:t>
      </w:r>
      <w:bookmarkEnd w:id="373"/>
      <w:r/>
      <w:r/>
    </w:p>
    <w:p>
      <w:pPr>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p>
    <w:p>
      <w:pPr>
        <w:pStyle w:val="1193"/>
        <w:spacing w:line="420" w:lineRule="exact"/>
        <w:rPr>
          <w:rFonts w:ascii="微软雅黑" w:hAnsi="微软雅黑" w:cs="微软雅黑"/>
          <w:bCs w:val="0"/>
          <w:sz w:val="24"/>
          <w:szCs w:val="24"/>
        </w:rPr>
      </w:pPr>
      <w:r/>
      <w:bookmarkStart w:id="374" w:name="_Toc8"/>
      <w:r>
        <w:rPr>
          <w:rFonts w:hint="eastAsia" w:ascii="微软雅黑" w:hAnsi="微软雅黑" w:cs="微软雅黑"/>
          <w:bCs w:val="0"/>
          <w:sz w:val="24"/>
          <w:szCs w:val="24"/>
        </w:rPr>
        <w:t xml:space="preserve">1.5采购文件的约束力</w:t>
      </w:r>
      <w:bookmarkEnd w:id="374"/>
      <w:r/>
      <w:r/>
    </w:p>
    <w:p>
      <w:pPr>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p>
    <w:p>
      <w:pPr>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p>
    <w:p>
      <w:pPr>
        <w:pStyle w:val="1349"/>
        <w:spacing w:line="420" w:lineRule="exact"/>
        <w:rPr>
          <w:rFonts w:ascii="微软雅黑" w:hAnsi="微软雅黑" w:cs="微软雅黑"/>
        </w:rPr>
      </w:pPr>
      <w:r/>
      <w:bookmarkStart w:id="375" w:name="_Toc9"/>
      <w:r>
        <w:rPr>
          <w:rFonts w:hint="eastAsia" w:ascii="微软雅黑" w:hAnsi="微软雅黑" w:cs="微软雅黑"/>
        </w:rPr>
        <w:t xml:space="preserve">二、采购文件</w:t>
      </w:r>
      <w:bookmarkEnd w:id="375"/>
      <w:r/>
      <w:r/>
    </w:p>
    <w:p>
      <w:pPr>
        <w:pStyle w:val="1193"/>
        <w:spacing w:line="420" w:lineRule="exact"/>
        <w:rPr>
          <w:rFonts w:ascii="微软雅黑" w:hAnsi="微软雅黑" w:cs="微软雅黑"/>
          <w:bCs w:val="0"/>
          <w:sz w:val="24"/>
          <w:szCs w:val="24"/>
        </w:rPr>
      </w:pPr>
      <w:r/>
      <w:bookmarkStart w:id="376" w:name="_Toc10"/>
      <w:r>
        <w:rPr>
          <w:rFonts w:hint="eastAsia" w:ascii="微软雅黑" w:hAnsi="微软雅黑" w:cs="微软雅黑"/>
          <w:bCs w:val="0"/>
          <w:sz w:val="24"/>
          <w:szCs w:val="24"/>
        </w:rPr>
        <w:t xml:space="preserve">2.1采购文件的组成</w:t>
      </w:r>
      <w:bookmarkEnd w:id="376"/>
      <w:r/>
      <w:r/>
    </w:p>
    <w:p>
      <w:pPr>
        <w:spacing w:line="420" w:lineRule="exact"/>
        <w:rPr>
          <w:rFonts w:ascii="微软雅黑" w:hAnsi="微软雅黑" w:cs="微软雅黑"/>
        </w:rPr>
      </w:pPr>
      <w:r>
        <w:rPr>
          <w:rFonts w:hint="eastAsia" w:ascii="微软雅黑" w:hAnsi="微软雅黑" w:cs="微软雅黑"/>
        </w:rPr>
        <w:t xml:space="preserve">2.1.1采购文件由以下部分组成：</w:t>
      </w:r>
      <w:r/>
    </w:p>
    <w:p>
      <w:pPr>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p>
    <w:p>
      <w:pPr>
        <w:ind w:firstLine="420"/>
        <w:spacing w:line="420" w:lineRule="exact"/>
        <w:rPr>
          <w:rFonts w:ascii="微软雅黑" w:hAnsi="微软雅黑" w:cs="微软雅黑"/>
        </w:rPr>
      </w:pPr>
      <w:r>
        <w:rPr>
          <w:rFonts w:hint="eastAsia" w:ascii="微软雅黑" w:hAnsi="微软雅黑" w:cs="微软雅黑"/>
        </w:rPr>
        <w:t xml:space="preserve">第二章 供应商须知</w:t>
      </w:r>
      <w:r/>
    </w:p>
    <w:p>
      <w:pPr>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p>
    <w:p>
      <w:pPr>
        <w:ind w:firstLine="420"/>
        <w:spacing w:line="420" w:lineRule="exact"/>
        <w:rPr>
          <w:rFonts w:ascii="微软雅黑" w:hAnsi="微软雅黑" w:cs="微软雅黑"/>
        </w:rPr>
      </w:pPr>
      <w:r>
        <w:rPr>
          <w:rFonts w:hint="eastAsia" w:ascii="微软雅黑" w:hAnsi="微软雅黑" w:cs="微软雅黑"/>
        </w:rPr>
        <w:t xml:space="preserve">第四章 项目采购需求</w:t>
      </w:r>
      <w:r/>
    </w:p>
    <w:p>
      <w:pPr>
        <w:ind w:firstLine="420"/>
        <w:spacing w:line="420" w:lineRule="exact"/>
        <w:rPr>
          <w:rFonts w:ascii="微软雅黑" w:hAnsi="微软雅黑" w:cs="微软雅黑"/>
        </w:rPr>
      </w:pPr>
      <w:r>
        <w:rPr>
          <w:rFonts w:hint="eastAsia" w:ascii="微软雅黑" w:hAnsi="微软雅黑" w:cs="微软雅黑"/>
        </w:rPr>
        <w:t xml:space="preserve">第五章 采购合同</w:t>
      </w:r>
      <w:r/>
    </w:p>
    <w:p>
      <w:pPr>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p>
    <w:p>
      <w:pPr>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p>
    <w:p>
      <w:pPr>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p>
    <w:p>
      <w:pPr>
        <w:pStyle w:val="1193"/>
        <w:spacing w:line="420" w:lineRule="exact"/>
        <w:rPr>
          <w:rFonts w:ascii="微软雅黑" w:hAnsi="微软雅黑" w:cs="微软雅黑"/>
          <w:bCs w:val="0"/>
          <w:sz w:val="24"/>
          <w:szCs w:val="24"/>
        </w:rPr>
      </w:pPr>
      <w:r/>
      <w:bookmarkStart w:id="377" w:name="_Toc11"/>
      <w:r>
        <w:rPr>
          <w:rFonts w:hint="eastAsia" w:ascii="微软雅黑" w:hAnsi="微软雅黑" w:cs="微软雅黑"/>
          <w:bCs w:val="0"/>
          <w:sz w:val="24"/>
          <w:szCs w:val="24"/>
        </w:rPr>
        <w:t xml:space="preserve">2.2采购文件的更正或补充</w:t>
      </w:r>
      <w:bookmarkEnd w:id="377"/>
      <w:r/>
      <w:r/>
    </w:p>
    <w:p>
      <w:pPr>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p>
    <w:p>
      <w:pPr>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p>
    <w:p>
      <w:pPr>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p>
    <w:p>
      <w:pPr>
        <w:pStyle w:val="1349"/>
        <w:spacing w:line="420" w:lineRule="exact"/>
        <w:rPr>
          <w:rFonts w:ascii="微软雅黑" w:hAnsi="微软雅黑" w:cs="微软雅黑"/>
        </w:rPr>
      </w:pPr>
      <w:r/>
      <w:bookmarkStart w:id="378" w:name="_Toc12"/>
      <w:r>
        <w:rPr>
          <w:rFonts w:hint="eastAsia" w:ascii="微软雅黑" w:hAnsi="微软雅黑" w:cs="微软雅黑"/>
        </w:rPr>
        <w:t xml:space="preserve">三、投标文件</w:t>
      </w:r>
      <w:bookmarkEnd w:id="378"/>
      <w:r/>
      <w:r/>
    </w:p>
    <w:p>
      <w:pPr>
        <w:pStyle w:val="1193"/>
        <w:spacing w:line="420" w:lineRule="exact"/>
        <w:rPr>
          <w:rFonts w:ascii="微软雅黑" w:hAnsi="微软雅黑" w:cs="微软雅黑"/>
          <w:bCs w:val="0"/>
          <w:sz w:val="24"/>
          <w:szCs w:val="24"/>
        </w:rPr>
      </w:pPr>
      <w:r/>
      <w:bookmarkStart w:id="379" w:name="_Toc13"/>
      <w:r>
        <w:rPr>
          <w:rFonts w:hint="eastAsia" w:ascii="微软雅黑" w:hAnsi="微软雅黑" w:cs="微软雅黑"/>
          <w:bCs w:val="0"/>
          <w:sz w:val="24"/>
          <w:szCs w:val="24"/>
        </w:rPr>
        <w:t xml:space="preserve">3.1投标文件的语言及度量衡</w:t>
      </w:r>
      <w:bookmarkEnd w:id="379"/>
      <w:r/>
      <w:r/>
    </w:p>
    <w:p>
      <w:pPr>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p>
    <w:p>
      <w:pPr>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p>
    <w:p>
      <w:pPr>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p>
    <w:p>
      <w:pPr>
        <w:pStyle w:val="1193"/>
        <w:spacing w:line="420" w:lineRule="exact"/>
        <w:rPr>
          <w:rFonts w:ascii="微软雅黑" w:hAnsi="微软雅黑" w:cs="微软雅黑"/>
          <w:bCs w:val="0"/>
          <w:sz w:val="24"/>
          <w:szCs w:val="24"/>
        </w:rPr>
      </w:pPr>
      <w:r/>
      <w:bookmarkStart w:id="380" w:name="_Toc14"/>
      <w:r>
        <w:rPr>
          <w:rFonts w:hint="eastAsia" w:ascii="微软雅黑" w:hAnsi="微软雅黑" w:cs="微软雅黑"/>
          <w:bCs w:val="0"/>
          <w:sz w:val="24"/>
          <w:szCs w:val="24"/>
        </w:rPr>
        <w:t xml:space="preserve">3.2投标文件的组成</w:t>
      </w:r>
      <w:bookmarkEnd w:id="380"/>
      <w:r/>
      <w:r/>
    </w:p>
    <w:p>
      <w:pPr>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p>
    <w:p>
      <w:pPr>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p>
    <w:p>
      <w:pPr>
        <w:ind w:firstLine="420"/>
        <w:spacing w:line="420" w:lineRule="exact"/>
        <w:rPr>
          <w:rFonts w:ascii="微软雅黑" w:hAnsi="微软雅黑" w:cs="微软雅黑"/>
        </w:rPr>
      </w:pPr>
      <w:r>
        <w:rPr>
          <w:rFonts w:hint="eastAsia" w:ascii="微软雅黑" w:hAnsi="微软雅黑" w:cs="微软雅黑"/>
        </w:rPr>
        <w:t xml:space="preserve">（2）供应商资格证明文件。</w:t>
      </w:r>
      <w:r/>
    </w:p>
    <w:p>
      <w:pPr>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p>
    <w:p>
      <w:pPr>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p>
    <w:p>
      <w:pPr>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p>
    <w:p>
      <w:pPr>
        <w:pStyle w:val="1193"/>
        <w:spacing w:line="420" w:lineRule="exact"/>
        <w:rPr>
          <w:rFonts w:ascii="微软雅黑" w:hAnsi="微软雅黑" w:cs="微软雅黑"/>
          <w:bCs w:val="0"/>
          <w:sz w:val="24"/>
          <w:szCs w:val="24"/>
        </w:rPr>
      </w:pPr>
      <w:r/>
      <w:bookmarkStart w:id="381" w:name="_Toc15"/>
      <w:r>
        <w:rPr>
          <w:rFonts w:hint="eastAsia" w:ascii="微软雅黑" w:hAnsi="微软雅黑" w:cs="微软雅黑"/>
          <w:bCs w:val="0"/>
          <w:sz w:val="24"/>
          <w:szCs w:val="24"/>
        </w:rPr>
        <w:t xml:space="preserve">3.3投标报价</w:t>
      </w:r>
      <w:bookmarkEnd w:id="381"/>
      <w:r/>
      <w:r/>
    </w:p>
    <w:p>
      <w:pPr>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p>
    <w:p>
      <w:pPr>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p>
    <w:p>
      <w:pPr>
        <w:pStyle w:val="1193"/>
        <w:spacing w:line="420" w:lineRule="exact"/>
        <w:rPr>
          <w:rFonts w:ascii="微软雅黑" w:hAnsi="微软雅黑" w:cs="微软雅黑"/>
          <w:bCs w:val="0"/>
          <w:sz w:val="24"/>
          <w:szCs w:val="24"/>
        </w:rPr>
      </w:pPr>
      <w:r/>
      <w:bookmarkStart w:id="382" w:name="_Toc16"/>
      <w:r>
        <w:rPr>
          <w:rFonts w:hint="eastAsia" w:ascii="微软雅黑" w:hAnsi="微软雅黑" w:cs="微软雅黑"/>
          <w:bCs w:val="0"/>
          <w:sz w:val="24"/>
          <w:szCs w:val="24"/>
        </w:rPr>
        <w:t xml:space="preserve">3.4投标报价中的货币</w:t>
      </w:r>
      <w:bookmarkEnd w:id="382"/>
      <w:r/>
      <w:r/>
    </w:p>
    <w:p>
      <w:pPr>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p>
    <w:p>
      <w:pPr>
        <w:pStyle w:val="1193"/>
        <w:spacing w:line="420" w:lineRule="exact"/>
        <w:rPr>
          <w:rFonts w:ascii="微软雅黑" w:hAnsi="微软雅黑" w:cs="微软雅黑"/>
          <w:bCs w:val="0"/>
          <w:sz w:val="24"/>
          <w:szCs w:val="24"/>
        </w:rPr>
      </w:pPr>
      <w:r/>
      <w:bookmarkStart w:id="383" w:name="_Toc17"/>
      <w:r>
        <w:rPr>
          <w:rFonts w:hint="eastAsia" w:ascii="微软雅黑" w:hAnsi="微软雅黑" w:cs="微软雅黑"/>
          <w:bCs w:val="0"/>
          <w:sz w:val="24"/>
          <w:szCs w:val="24"/>
        </w:rPr>
        <w:t xml:space="preserve">3.5投标保证金</w:t>
      </w:r>
      <w:r>
        <w:rPr>
          <w:rFonts w:hint="eastAsia" w:ascii="微软雅黑" w:hAnsi="微软雅黑" w:cs="微软雅黑"/>
          <w:bCs w:val="0"/>
          <w:sz w:val="24"/>
          <w:szCs w:val="24"/>
        </w:rPr>
        <w:t xml:space="preserve">：无</w:t>
      </w:r>
      <w:bookmarkEnd w:id="383"/>
      <w:r/>
      <w:r/>
    </w:p>
    <w:p>
      <w:pPr>
        <w:pStyle w:val="1193"/>
        <w:spacing w:line="420" w:lineRule="exact"/>
        <w:rPr>
          <w:rFonts w:ascii="微软雅黑" w:hAnsi="微软雅黑" w:cs="微软雅黑"/>
          <w:bCs w:val="0"/>
          <w:sz w:val="24"/>
          <w:szCs w:val="24"/>
        </w:rPr>
      </w:pPr>
      <w:r/>
      <w:bookmarkStart w:id="384" w:name="_Toc18"/>
      <w:r>
        <w:rPr>
          <w:rFonts w:hint="eastAsia" w:ascii="微软雅黑" w:hAnsi="微软雅黑" w:cs="微软雅黑"/>
          <w:bCs w:val="0"/>
          <w:sz w:val="24"/>
          <w:szCs w:val="24"/>
        </w:rPr>
        <w:t xml:space="preserve">3.6投标有效期</w:t>
      </w:r>
      <w:bookmarkEnd w:id="384"/>
      <w:r/>
      <w:r/>
    </w:p>
    <w:p>
      <w:pPr>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p>
    <w:p>
      <w:pPr>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193"/>
        <w:spacing w:line="420" w:lineRule="exact"/>
        <w:rPr>
          <w:rFonts w:ascii="微软雅黑" w:hAnsi="微软雅黑" w:cs="微软雅黑"/>
          <w:bCs w:val="0"/>
          <w:sz w:val="24"/>
          <w:szCs w:val="24"/>
        </w:rPr>
      </w:pPr>
      <w:r/>
      <w:bookmarkStart w:id="385" w:name="_Toc19"/>
      <w:r>
        <w:rPr>
          <w:rFonts w:hint="eastAsia" w:ascii="微软雅黑" w:hAnsi="微软雅黑" w:cs="微软雅黑"/>
          <w:bCs w:val="0"/>
          <w:sz w:val="24"/>
          <w:szCs w:val="24"/>
        </w:rPr>
        <w:t xml:space="preserve">3.7投标文件的签署、形式及装订</w:t>
      </w:r>
      <w:bookmarkEnd w:id="385"/>
      <w:r/>
      <w:r/>
    </w:p>
    <w:p>
      <w:pPr>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p>
    <w:p>
      <w:pPr>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p>
    <w:p>
      <w:pPr>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p>
    <w:p>
      <w:pPr>
        <w:pStyle w:val="1349"/>
        <w:spacing w:line="420" w:lineRule="exact"/>
        <w:rPr>
          <w:rFonts w:ascii="微软雅黑" w:hAnsi="微软雅黑" w:cs="微软雅黑"/>
        </w:rPr>
      </w:pPr>
      <w:r/>
      <w:bookmarkStart w:id="386" w:name="_Toc20"/>
      <w:r>
        <w:rPr>
          <w:rFonts w:hint="eastAsia" w:ascii="微软雅黑" w:hAnsi="微软雅黑" w:cs="微软雅黑"/>
        </w:rPr>
        <w:t xml:space="preserve">四、投标文件的递交</w:t>
      </w:r>
      <w:bookmarkEnd w:id="386"/>
      <w:r/>
      <w:r/>
    </w:p>
    <w:p>
      <w:pPr>
        <w:jc w:val="left"/>
        <w:spacing w:line="420" w:lineRule="exact"/>
        <w:rPr>
          <w:rFonts w:ascii="微软雅黑" w:hAnsi="微软雅黑" w:cs="微软雅黑"/>
          <w:szCs w:val="21"/>
        </w:rPr>
      </w:pPr>
      <w:r>
        <w:rPr>
          <w:rFonts w:hint="eastAsia" w:ascii="微软雅黑" w:hAnsi="微软雅黑" w:cs="微软雅黑"/>
          <w:szCs w:val="21"/>
        </w:rPr>
        <w:t xml:space="preserve">4.1投标人应当按照《操作手册》规定，在采购公告规定的投标截止时间前制作并上传电子投标文件。</w:t>
      </w:r>
      <w:r/>
    </w:p>
    <w:p>
      <w:pPr>
        <w:pStyle w:val="1148"/>
        <w:jc w:val="left"/>
        <w:spacing w:before="0" w:after="0" w:line="420" w:lineRule="exact"/>
        <w:rPr>
          <w:rFonts w:ascii="微软雅黑" w:hAnsi="微软雅黑" w:eastAsia="微软雅黑" w:cs="微软雅黑"/>
          <w:b/>
          <w:sz w:val="21"/>
          <w:szCs w:val="21"/>
        </w:rPr>
      </w:pPr>
      <w:r/>
      <w:bookmarkStart w:id="387" w:name="_Toc21"/>
      <w:r>
        <w:rPr>
          <w:rFonts w:hint="eastAsia" w:ascii="微软雅黑" w:hAnsi="微软雅黑" w:eastAsia="微软雅黑" w:cs="微软雅黑"/>
          <w:b/>
          <w:sz w:val="21"/>
          <w:szCs w:val="21"/>
        </w:rPr>
        <w:t xml:space="preserve">4.2有下列情形的投标文件将被拒收</w:t>
      </w:r>
      <w:bookmarkEnd w:id="387"/>
      <w:r/>
      <w:r/>
    </w:p>
    <w:p>
      <w:pPr>
        <w:pStyle w:val="1148"/>
        <w:jc w:val="left"/>
        <w:spacing w:before="0" w:after="0" w:line="420" w:lineRule="exact"/>
        <w:rPr>
          <w:rFonts w:ascii="微软雅黑" w:hAnsi="微软雅黑" w:eastAsia="微软雅黑" w:cs="微软雅黑"/>
          <w:b/>
          <w:sz w:val="21"/>
          <w:szCs w:val="21"/>
        </w:rPr>
      </w:pPr>
      <w:r/>
      <w:bookmarkStart w:id="388" w:name="_Toc22"/>
      <w:r>
        <w:rPr>
          <w:rFonts w:hint="eastAsia" w:ascii="微软雅黑" w:hAnsi="微软雅黑" w:eastAsia="微软雅黑" w:cs="微软雅黑"/>
          <w:b/>
          <w:sz w:val="21"/>
          <w:szCs w:val="21"/>
        </w:rPr>
        <w:t xml:space="preserve">4.2.1投标人未按照《操作手册》规定，在“苏采云”系统规定的时间内对投标文件进行解密的。</w:t>
      </w:r>
      <w:bookmarkEnd w:id="388"/>
      <w:r/>
      <w:r/>
    </w:p>
    <w:p>
      <w:pPr>
        <w:pStyle w:val="1148"/>
        <w:jc w:val="left"/>
        <w:spacing w:before="0" w:after="0" w:line="420" w:lineRule="exact"/>
        <w:rPr>
          <w:rFonts w:ascii="微软雅黑" w:hAnsi="微软雅黑" w:eastAsia="微软雅黑" w:cs="微软雅黑"/>
          <w:b/>
          <w:sz w:val="21"/>
          <w:szCs w:val="21"/>
        </w:rPr>
      </w:pPr>
      <w:r/>
      <w:bookmarkStart w:id="389" w:name="_Toc23"/>
      <w:r>
        <w:rPr>
          <w:rFonts w:hint="eastAsia" w:ascii="微软雅黑" w:hAnsi="微软雅黑" w:eastAsia="微软雅黑" w:cs="微软雅黑"/>
          <w:b/>
          <w:sz w:val="21"/>
          <w:szCs w:val="21"/>
        </w:rPr>
        <w:t xml:space="preserve">4.2.2投标人应充分考虑网络环境、网络带宽等因素可能对投标产生的影响，如因投标人自身原因造成的电子投标文件解密不成功的，做无效投标处理</w:t>
      </w:r>
      <w:r>
        <w:rPr>
          <w:rFonts w:hint="eastAsia" w:ascii="微软雅黑" w:hAnsi="微软雅黑" w:eastAsia="微软雅黑" w:cs="微软雅黑"/>
          <w:b/>
          <w:sz w:val="21"/>
          <w:szCs w:val="21"/>
        </w:rPr>
        <w:t xml:space="preserve">,</w:t>
      </w:r>
      <w:r>
        <w:rPr>
          <w:rFonts w:ascii="微软雅黑" w:hAnsi="微软雅黑" w:eastAsia="微软雅黑" w:cs="微软雅黑"/>
          <w:sz w:val="21"/>
          <w:szCs w:val="21"/>
          <w:shd w:val="clear" w:color="auto" w:fill="ffffff"/>
        </w:rPr>
        <w:t xml:space="preserve">但因系统故障导致投标人无法在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389"/>
      <w:r/>
      <w:r/>
    </w:p>
    <w:p>
      <w:pPr>
        <w:pStyle w:val="1158"/>
        <w:spacing w:line="420" w:lineRule="exact"/>
        <w:rPr>
          <w:rFonts w:ascii="微软雅黑" w:hAnsi="微软雅黑" w:cs="微软雅黑"/>
        </w:rPr>
      </w:pPr>
      <w:r>
        <w:rPr>
          <w:rFonts w:ascii="微软雅黑" w:hAnsi="微软雅黑" w:cs="微软雅黑"/>
        </w:rPr>
      </w:r>
      <w:r/>
    </w:p>
    <w:p>
      <w:pPr>
        <w:pStyle w:val="1148"/>
        <w:jc w:val="left"/>
        <w:spacing w:before="0" w:after="0" w:line="420" w:lineRule="exact"/>
        <w:rPr>
          <w:rFonts w:ascii="微软雅黑" w:hAnsi="微软雅黑" w:eastAsia="微软雅黑" w:cs="微软雅黑"/>
          <w:b/>
          <w:sz w:val="21"/>
          <w:szCs w:val="21"/>
        </w:rPr>
      </w:pPr>
      <w:r/>
      <w:bookmarkStart w:id="390" w:name="_Toc24"/>
      <w:r>
        <w:rPr>
          <w:rFonts w:hint="eastAsia" w:ascii="微软雅黑" w:hAnsi="微软雅黑" w:eastAsia="微软雅黑" w:cs="微软雅黑"/>
          <w:b/>
          <w:sz w:val="21"/>
          <w:szCs w:val="21"/>
        </w:rPr>
        <w:t xml:space="preserve">4.3 投标截止时间</w:t>
      </w:r>
      <w:bookmarkEnd w:id="390"/>
      <w:r/>
      <w:r/>
    </w:p>
    <w:p>
      <w:pPr>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p>
    <w:p>
      <w:pPr>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p>
    <w:p>
      <w:pPr>
        <w:pStyle w:val="1148"/>
        <w:jc w:val="left"/>
        <w:spacing w:before="0" w:after="0" w:line="420" w:lineRule="exact"/>
        <w:rPr>
          <w:rFonts w:ascii="微软雅黑" w:hAnsi="微软雅黑" w:eastAsia="微软雅黑" w:cs="微软雅黑"/>
          <w:b/>
          <w:sz w:val="21"/>
          <w:szCs w:val="21"/>
        </w:rPr>
      </w:pPr>
      <w:r/>
      <w:bookmarkStart w:id="391" w:name="_Toc25"/>
      <w:r>
        <w:rPr>
          <w:rFonts w:hint="eastAsia" w:ascii="微软雅黑" w:hAnsi="微软雅黑" w:eastAsia="微软雅黑" w:cs="微软雅黑"/>
          <w:b/>
          <w:sz w:val="21"/>
          <w:szCs w:val="21"/>
        </w:rPr>
        <w:t xml:space="preserve">4.4 投标文件的修改和撤回</w:t>
      </w:r>
      <w:bookmarkEnd w:id="391"/>
      <w:r/>
      <w:r/>
    </w:p>
    <w:p>
      <w:pPr>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p>
    <w:p>
      <w:pPr>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p>
    <w:p>
      <w:pPr>
        <w:pStyle w:val="1147"/>
        <w:jc w:val="center"/>
        <w:spacing w:before="0" w:after="0"/>
        <w:rPr>
          <w:rFonts w:ascii="微软雅黑" w:hAnsi="微软雅黑" w:eastAsia="微软雅黑" w:cs="微软雅黑"/>
          <w:b/>
          <w:bCs/>
          <w:sz w:val="28"/>
          <w:szCs w:val="32"/>
        </w:rPr>
      </w:pPr>
      <w:r/>
      <w:bookmarkStart w:id="392" w:name="_Toc26"/>
      <w:r>
        <w:rPr>
          <w:rFonts w:hint="eastAsia" w:ascii="微软雅黑" w:hAnsi="微软雅黑" w:eastAsia="微软雅黑" w:cs="微软雅黑"/>
          <w:b/>
          <w:bCs/>
          <w:sz w:val="28"/>
          <w:szCs w:val="32"/>
        </w:rPr>
        <w:t xml:space="preserve">五、开标与评标</w:t>
      </w:r>
      <w:bookmarkEnd w:id="392"/>
      <w:r/>
      <w:r/>
    </w:p>
    <w:p>
      <w:pPr>
        <w:pStyle w:val="1148"/>
        <w:jc w:val="left"/>
        <w:spacing w:before="0" w:after="0" w:line="440" w:lineRule="exact"/>
        <w:rPr>
          <w:rFonts w:ascii="微软雅黑" w:hAnsi="微软雅黑" w:eastAsia="微软雅黑" w:cs="微软雅黑"/>
          <w:b/>
          <w:sz w:val="21"/>
          <w:szCs w:val="21"/>
        </w:rPr>
      </w:pPr>
      <w:r/>
      <w:bookmarkStart w:id="393" w:name="_Toc27"/>
      <w:r>
        <w:rPr>
          <w:rFonts w:hint="eastAsia" w:ascii="微软雅黑" w:hAnsi="微软雅黑" w:eastAsia="微软雅黑" w:cs="微软雅黑"/>
          <w:b/>
          <w:sz w:val="21"/>
          <w:szCs w:val="21"/>
        </w:rPr>
        <w:t xml:space="preserve">5.1 投标文件启封</w:t>
      </w:r>
      <w:bookmarkEnd w:id="393"/>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52" w:name="OLE_LINK3"/>
      <w:r>
        <w:rPr>
          <w:rFonts w:hint="eastAsia" w:ascii="微软雅黑" w:hAnsi="微软雅黑" w:cs="微软雅黑"/>
          <w:bCs/>
          <w:szCs w:val="21"/>
        </w:rPr>
        <w:t xml:space="preserve">“苏采云”系统规定的时间内</w:t>
      </w:r>
      <w:bookmarkEnd w:id="152"/>
      <w:r>
        <w:rPr>
          <w:rFonts w:hint="eastAsia" w:ascii="微软雅黑" w:hAnsi="微软雅黑" w:cs="微软雅黑"/>
          <w:bCs/>
          <w:szCs w:val="21"/>
        </w:rPr>
        <w:t xml:space="preserve">对投标文件进行解密。“苏采云”系统公布各投标人名称和投标价格。</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p>
    <w:p>
      <w:pPr>
        <w:pStyle w:val="1148"/>
        <w:jc w:val="left"/>
        <w:spacing w:before="0" w:after="0" w:line="440" w:lineRule="exact"/>
        <w:rPr>
          <w:rFonts w:ascii="微软雅黑" w:hAnsi="微软雅黑" w:eastAsia="微软雅黑" w:cs="微软雅黑"/>
          <w:b/>
          <w:sz w:val="21"/>
          <w:szCs w:val="21"/>
        </w:rPr>
      </w:pPr>
      <w:r/>
      <w:bookmarkStart w:id="394" w:name="_Toc28"/>
      <w:r>
        <w:rPr>
          <w:rFonts w:hint="eastAsia" w:ascii="微软雅黑" w:hAnsi="微软雅黑" w:eastAsia="微软雅黑" w:cs="微软雅黑"/>
          <w:b/>
          <w:sz w:val="21"/>
          <w:szCs w:val="21"/>
        </w:rPr>
        <w:t xml:space="preserve">5.2 评标委员会</w:t>
      </w:r>
      <w:bookmarkEnd w:id="394"/>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p>
    <w:p>
      <w:pPr>
        <w:pStyle w:val="1148"/>
        <w:jc w:val="left"/>
        <w:spacing w:before="0" w:after="0" w:line="440" w:lineRule="exact"/>
        <w:rPr>
          <w:rFonts w:ascii="微软雅黑" w:hAnsi="微软雅黑" w:eastAsia="微软雅黑" w:cs="微软雅黑"/>
          <w:b/>
          <w:sz w:val="21"/>
          <w:szCs w:val="21"/>
        </w:rPr>
      </w:pPr>
      <w:r/>
      <w:bookmarkStart w:id="395" w:name="_Toc29"/>
      <w:r>
        <w:rPr>
          <w:rFonts w:hint="eastAsia" w:ascii="微软雅黑" w:hAnsi="微软雅黑" w:eastAsia="微软雅黑" w:cs="微软雅黑"/>
          <w:b/>
          <w:sz w:val="21"/>
          <w:szCs w:val="21"/>
        </w:rPr>
        <w:t xml:space="preserve">5.3 对投标文件的资格性审查和符合性审查</w:t>
      </w:r>
      <w:bookmarkEnd w:id="395"/>
      <w:r/>
      <w:r/>
    </w:p>
    <w:p>
      <w:pPr>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p>
    <w:p>
      <w:pPr>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p>
    <w:p>
      <w:pPr>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p>
    <w:p>
      <w:pPr>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p>
    <w:p>
      <w:pPr>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p>
    <w:p>
      <w:pPr>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p>
    <w:p>
      <w:pPr>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p>
    <w:p>
      <w:pPr>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p>
    <w:p>
      <w:pPr>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p>
    <w:p>
      <w:pPr>
        <w:pStyle w:val="1193"/>
        <w:spacing w:line="420" w:lineRule="exact"/>
        <w:rPr>
          <w:rFonts w:ascii="微软雅黑" w:hAnsi="微软雅黑" w:cs="微软雅黑"/>
          <w:bCs w:val="0"/>
          <w:sz w:val="24"/>
          <w:szCs w:val="24"/>
        </w:rPr>
      </w:pPr>
      <w:r/>
      <w:bookmarkStart w:id="396" w:name="_Toc30"/>
      <w:r>
        <w:rPr>
          <w:rFonts w:hint="eastAsia" w:ascii="微软雅黑" w:hAnsi="微软雅黑" w:cs="微软雅黑"/>
          <w:bCs w:val="0"/>
          <w:sz w:val="24"/>
          <w:szCs w:val="24"/>
        </w:rPr>
        <w:t xml:space="preserve">5.4投标文件的澄清</w:t>
      </w:r>
      <w:bookmarkEnd w:id="396"/>
      <w:r/>
      <w:r/>
    </w:p>
    <w:p>
      <w:pPr>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p>
    <w:p>
      <w:pPr>
        <w:spacing w:line="420" w:lineRule="exact"/>
        <w:rPr>
          <w:rFonts w:ascii="微软雅黑" w:hAnsi="微软雅黑" w:cs="微软雅黑"/>
        </w:rPr>
      </w:pPr>
      <w:r>
        <w:rPr>
          <w:rFonts w:hint="eastAsia" w:ascii="微软雅黑" w:hAnsi="微软雅黑" w:cs="微软雅黑"/>
        </w:rPr>
        <w:t xml:space="preserve">5.4.4并非每个供应商都将被要求澄清。</w:t>
      </w:r>
      <w:r/>
    </w:p>
    <w:p>
      <w:pPr>
        <w:pStyle w:val="1193"/>
        <w:spacing w:line="420" w:lineRule="exact"/>
        <w:rPr>
          <w:rFonts w:ascii="微软雅黑" w:hAnsi="微软雅黑" w:cs="微软雅黑"/>
          <w:bCs w:val="0"/>
          <w:sz w:val="24"/>
          <w:szCs w:val="24"/>
        </w:rPr>
      </w:pPr>
      <w:r/>
      <w:bookmarkStart w:id="397" w:name="_Toc31"/>
      <w:r>
        <w:rPr>
          <w:rFonts w:hint="eastAsia" w:ascii="微软雅黑" w:hAnsi="微软雅黑" w:cs="微软雅黑"/>
          <w:bCs w:val="0"/>
          <w:sz w:val="24"/>
          <w:szCs w:val="24"/>
        </w:rPr>
        <w:t xml:space="preserve">5.5评标及中标</w:t>
      </w:r>
      <w:bookmarkEnd w:id="397"/>
      <w:r/>
      <w:r/>
    </w:p>
    <w:p>
      <w:pPr>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p>
    <w:p>
      <w:pPr>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p>
    <w:p>
      <w:pPr>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193"/>
        <w:spacing w:line="420" w:lineRule="exact"/>
        <w:rPr>
          <w:rFonts w:ascii="微软雅黑" w:hAnsi="微软雅黑" w:cs="微软雅黑"/>
          <w:bCs w:val="0"/>
          <w:sz w:val="24"/>
          <w:szCs w:val="24"/>
        </w:rPr>
      </w:pPr>
      <w:r/>
      <w:bookmarkStart w:id="398" w:name="_Toc32"/>
      <w:r>
        <w:rPr>
          <w:rFonts w:hint="eastAsia" w:ascii="微软雅黑" w:hAnsi="微软雅黑" w:cs="微软雅黑"/>
          <w:bCs w:val="0"/>
          <w:sz w:val="24"/>
          <w:szCs w:val="24"/>
        </w:rPr>
        <w:t xml:space="preserve">5.6评标过程保密</w:t>
      </w:r>
      <w:bookmarkEnd w:id="398"/>
      <w:r/>
      <w:r/>
    </w:p>
    <w:p>
      <w:pPr>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p>
    <w:p>
      <w:pPr>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p>
    <w:p>
      <w:pPr>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p>
    <w:p>
      <w:pPr>
        <w:pStyle w:val="1193"/>
        <w:spacing w:line="420" w:lineRule="exact"/>
        <w:rPr>
          <w:rFonts w:ascii="微软雅黑" w:hAnsi="微软雅黑" w:cs="微软雅黑"/>
          <w:bCs w:val="0"/>
          <w:sz w:val="24"/>
          <w:szCs w:val="24"/>
        </w:rPr>
      </w:pPr>
      <w:r/>
      <w:bookmarkStart w:id="399" w:name="_Toc33"/>
      <w:r>
        <w:rPr>
          <w:rFonts w:hint="eastAsia" w:ascii="微软雅黑" w:hAnsi="微软雅黑" w:cs="微软雅黑"/>
          <w:bCs w:val="0"/>
          <w:sz w:val="24"/>
          <w:szCs w:val="24"/>
        </w:rPr>
        <w:t xml:space="preserve">5.7投标截止时间结束后参加供应商不足三家情况的处理</w:t>
      </w:r>
      <w:bookmarkEnd w:id="399"/>
      <w:r/>
      <w:r/>
    </w:p>
    <w:p>
      <w:pPr>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p>
    <w:p>
      <w:pPr>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p>
    <w:p>
      <w:pPr>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p>
    <w:p>
      <w:pPr>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193"/>
        <w:spacing w:line="420" w:lineRule="exact"/>
        <w:rPr>
          <w:rFonts w:ascii="微软雅黑" w:hAnsi="微软雅黑" w:cs="微软雅黑"/>
          <w:bCs w:val="0"/>
          <w:sz w:val="24"/>
          <w:szCs w:val="24"/>
        </w:rPr>
      </w:pPr>
      <w:r/>
      <w:bookmarkStart w:id="400" w:name="_Toc34"/>
      <w:r>
        <w:rPr>
          <w:rFonts w:hint="eastAsia" w:ascii="微软雅黑" w:hAnsi="微软雅黑" w:cs="微软雅黑"/>
          <w:bCs w:val="0"/>
          <w:sz w:val="24"/>
          <w:szCs w:val="24"/>
        </w:rPr>
        <w:t xml:space="preserve">5.8废标（终止采购活动）</w:t>
      </w:r>
      <w:bookmarkEnd w:id="400"/>
      <w:r/>
      <w:r/>
    </w:p>
    <w:p>
      <w:pPr>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p>
    <w:p>
      <w:pPr>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p>
    <w:p>
      <w:pPr>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p>
    <w:p>
      <w:pPr>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p>
    <w:p>
      <w:pPr>
        <w:spacing w:line="420" w:lineRule="exact"/>
        <w:rPr>
          <w:rFonts w:ascii="微软雅黑" w:hAnsi="微软雅黑" w:cs="微软雅黑"/>
        </w:rPr>
      </w:pPr>
      <w:r>
        <w:rPr>
          <w:rFonts w:hint="eastAsia" w:ascii="微软雅黑" w:hAnsi="微软雅黑" w:cs="微软雅黑"/>
        </w:rPr>
        <w:t xml:space="preserve">5.8.4因重大变故，采购任务取消的。</w:t>
      </w:r>
      <w:r/>
    </w:p>
    <w:p>
      <w:pPr>
        <w:pStyle w:val="1193"/>
        <w:spacing w:line="420" w:lineRule="exact"/>
        <w:rPr>
          <w:rFonts w:ascii="微软雅黑" w:hAnsi="微软雅黑" w:cs="微软雅黑"/>
          <w:bCs w:val="0"/>
          <w:sz w:val="24"/>
          <w:szCs w:val="24"/>
        </w:rPr>
      </w:pPr>
      <w:r/>
      <w:bookmarkStart w:id="401" w:name="_Toc35"/>
      <w:r>
        <w:rPr>
          <w:rFonts w:hint="eastAsia" w:ascii="微软雅黑" w:hAnsi="微软雅黑" w:cs="微软雅黑"/>
          <w:bCs w:val="0"/>
          <w:sz w:val="24"/>
          <w:szCs w:val="24"/>
        </w:rPr>
        <w:t xml:space="preserve">5.9有下列情形之一的，视为投标供应商串通投标，其投标无效：</w:t>
      </w:r>
      <w:bookmarkEnd w:id="401"/>
      <w:r/>
      <w:r/>
    </w:p>
    <w:p>
      <w:pPr>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p>
    <w:p>
      <w:pPr>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p>
    <w:p>
      <w:pPr>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p>
    <w:p>
      <w:pPr>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p>
    <w:p>
      <w:pPr>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p>
    <w:p>
      <w:pPr>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p>
    <w:p>
      <w:pPr>
        <w:pStyle w:val="1349"/>
        <w:spacing w:line="420" w:lineRule="exact"/>
        <w:rPr>
          <w:rFonts w:ascii="微软雅黑" w:hAnsi="微软雅黑" w:cs="微软雅黑"/>
        </w:rPr>
      </w:pPr>
      <w:r/>
      <w:bookmarkStart w:id="402" w:name="_Toc36"/>
      <w:r>
        <w:rPr>
          <w:rFonts w:hint="eastAsia" w:ascii="微软雅黑" w:hAnsi="微软雅黑" w:cs="微软雅黑"/>
        </w:rPr>
        <w:t xml:space="preserve">六、合同授予及签订</w:t>
      </w:r>
      <w:bookmarkEnd w:id="402"/>
      <w:r/>
      <w:r/>
    </w:p>
    <w:p>
      <w:pPr>
        <w:pStyle w:val="1193"/>
        <w:spacing w:line="420" w:lineRule="exact"/>
        <w:rPr>
          <w:rFonts w:ascii="微软雅黑" w:hAnsi="微软雅黑" w:cs="微软雅黑"/>
          <w:bCs w:val="0"/>
          <w:sz w:val="24"/>
          <w:szCs w:val="24"/>
        </w:rPr>
      </w:pPr>
      <w:r/>
      <w:bookmarkStart w:id="403" w:name="_Toc37"/>
      <w:r>
        <w:rPr>
          <w:rFonts w:hint="eastAsia" w:ascii="微软雅黑" w:hAnsi="微软雅黑" w:cs="微软雅黑"/>
          <w:bCs w:val="0"/>
          <w:sz w:val="24"/>
          <w:szCs w:val="24"/>
        </w:rPr>
        <w:t xml:space="preserve">6.1确定中标、成交供应商</w:t>
      </w:r>
      <w:bookmarkEnd w:id="403"/>
      <w:r/>
      <w:r/>
    </w:p>
    <w:p>
      <w:pPr>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p>
    <w:p>
      <w:pPr>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p>
    <w:p>
      <w:pPr>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p>
    <w:p>
      <w:pPr>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p>
    <w:p>
      <w:pPr>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p>
    <w:p>
      <w:pPr>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p>
    <w:p>
      <w:pPr>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p>
    <w:p>
      <w:pPr>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p>
    <w:p>
      <w:pPr>
        <w:ind w:firstLine="420"/>
        <w:spacing w:line="420" w:lineRule="exact"/>
        <w:rPr>
          <w:rFonts w:ascii="微软雅黑" w:hAnsi="微软雅黑" w:cs="微软雅黑"/>
        </w:rPr>
      </w:pPr>
      <w:r>
        <w:rPr>
          <w:rFonts w:hint="eastAsia" w:ascii="微软雅黑" w:hAnsi="微软雅黑" w:cs="微软雅黑"/>
        </w:rPr>
        <w:t xml:space="preserve">（6）不符合法律、法规的规定。</w:t>
      </w:r>
      <w:r/>
    </w:p>
    <w:p>
      <w:pPr>
        <w:pStyle w:val="1193"/>
        <w:spacing w:line="420" w:lineRule="exact"/>
        <w:rPr>
          <w:rFonts w:ascii="微软雅黑" w:hAnsi="微软雅黑" w:cs="微软雅黑"/>
          <w:bCs w:val="0"/>
          <w:sz w:val="24"/>
          <w:szCs w:val="24"/>
        </w:rPr>
      </w:pPr>
      <w:r/>
      <w:bookmarkStart w:id="404" w:name="_Toc38"/>
      <w:r>
        <w:rPr>
          <w:rFonts w:hint="eastAsia" w:ascii="微软雅黑" w:hAnsi="微软雅黑" w:cs="微软雅黑"/>
          <w:bCs w:val="0"/>
          <w:sz w:val="24"/>
          <w:szCs w:val="24"/>
        </w:rPr>
        <w:t xml:space="preserve">6.2质疑处理</w:t>
      </w:r>
      <w:bookmarkEnd w:id="404"/>
      <w:r/>
      <w:r/>
    </w:p>
    <w:p>
      <w:pPr>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p>
    <w:p>
      <w:pPr>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ascii="微软雅黑" w:hAnsi="微软雅黑" w:cs="微软雅黑"/>
        </w:rPr>
      </w:pPr>
      <w:r>
        <w:rPr>
          <w:rFonts w:hint="eastAsia" w:ascii="微软雅黑" w:hAnsi="微软雅黑" w:cs="微软雅黑"/>
        </w:rPr>
        <w:t xml:space="preserve">6.2.4质疑函应当包括下列内容：</w:t>
      </w:r>
      <w:r/>
    </w:p>
    <w:p>
      <w:pPr>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p>
    <w:p>
      <w:pPr>
        <w:ind w:firstLine="420"/>
        <w:spacing w:line="420" w:lineRule="exact"/>
        <w:rPr>
          <w:rFonts w:ascii="微软雅黑" w:hAnsi="微软雅黑" w:cs="微软雅黑"/>
        </w:rPr>
      </w:pPr>
      <w:r>
        <w:rPr>
          <w:rFonts w:hint="eastAsia" w:ascii="微软雅黑" w:hAnsi="微软雅黑" w:cs="微软雅黑"/>
        </w:rPr>
        <w:t xml:space="preserve">（2）质疑项目的名称、编号；</w:t>
      </w:r>
      <w:r/>
    </w:p>
    <w:p>
      <w:pPr>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p>
    <w:p>
      <w:pPr>
        <w:ind w:firstLine="420"/>
        <w:spacing w:line="420" w:lineRule="exact"/>
        <w:rPr>
          <w:rFonts w:ascii="微软雅黑" w:hAnsi="微软雅黑" w:cs="微软雅黑"/>
        </w:rPr>
      </w:pPr>
      <w:r>
        <w:rPr>
          <w:rFonts w:hint="eastAsia" w:ascii="微软雅黑" w:hAnsi="微软雅黑" w:cs="微软雅黑"/>
        </w:rPr>
        <w:t xml:space="preserve">（4）事实依据；</w:t>
      </w:r>
      <w:r/>
    </w:p>
    <w:p>
      <w:pPr>
        <w:ind w:firstLine="420"/>
        <w:spacing w:line="420" w:lineRule="exact"/>
        <w:rPr>
          <w:rFonts w:ascii="微软雅黑" w:hAnsi="微软雅黑" w:cs="微软雅黑"/>
        </w:rPr>
      </w:pPr>
      <w:r>
        <w:rPr>
          <w:rFonts w:hint="eastAsia" w:ascii="微软雅黑" w:hAnsi="微软雅黑" w:cs="微软雅黑"/>
        </w:rPr>
        <w:t xml:space="preserve">（5）必要的法律依据；</w:t>
      </w:r>
      <w:r/>
    </w:p>
    <w:p>
      <w:pPr>
        <w:ind w:firstLine="420"/>
        <w:spacing w:line="420" w:lineRule="exact"/>
        <w:rPr>
          <w:rFonts w:ascii="微软雅黑" w:hAnsi="微软雅黑" w:cs="微软雅黑"/>
        </w:rPr>
      </w:pPr>
      <w:r>
        <w:rPr>
          <w:rFonts w:hint="eastAsia" w:ascii="微软雅黑" w:hAnsi="微软雅黑" w:cs="微软雅黑"/>
        </w:rPr>
        <w:t xml:space="preserve">（6）提出质疑的日期。</w:t>
      </w:r>
      <w:r/>
    </w:p>
    <w:p>
      <w:pPr>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p>
    <w:p>
      <w:pPr>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p>
    <w:p>
      <w:pPr>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p>
    <w:p>
      <w:pPr>
        <w:pStyle w:val="1193"/>
        <w:spacing w:line="420" w:lineRule="exact"/>
        <w:rPr>
          <w:rFonts w:ascii="微软雅黑" w:hAnsi="微软雅黑" w:cs="微软雅黑"/>
          <w:bCs w:val="0"/>
          <w:sz w:val="24"/>
          <w:szCs w:val="24"/>
        </w:rPr>
      </w:pPr>
      <w:r/>
      <w:bookmarkStart w:id="405" w:name="_Toc39"/>
      <w:r>
        <w:rPr>
          <w:rFonts w:hint="eastAsia" w:ascii="微软雅黑" w:hAnsi="微软雅黑" w:cs="微软雅黑"/>
          <w:bCs w:val="0"/>
          <w:sz w:val="24"/>
          <w:szCs w:val="24"/>
        </w:rPr>
        <w:t xml:space="preserve">6.3中标通知书</w:t>
      </w:r>
      <w:bookmarkEnd w:id="405"/>
      <w:r/>
      <w:r/>
    </w:p>
    <w:p>
      <w:pPr>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p>
    <w:p>
      <w:pPr>
        <w:spacing w:line="420" w:lineRule="exact"/>
        <w:rPr>
          <w:rFonts w:ascii="微软雅黑" w:hAnsi="微软雅黑" w:cs="微软雅黑"/>
        </w:rPr>
      </w:pPr>
      <w:r>
        <w:rPr>
          <w:rFonts w:hint="eastAsia" w:ascii="微软雅黑" w:hAnsi="微软雅黑" w:cs="微软雅黑"/>
        </w:rPr>
        <w:t xml:space="preserve">6.3.2中标通知书是合同的组成部分。</w:t>
      </w:r>
      <w:r/>
    </w:p>
    <w:p>
      <w:pPr>
        <w:pStyle w:val="1193"/>
        <w:spacing w:line="420" w:lineRule="exact"/>
        <w:rPr>
          <w:rFonts w:ascii="微软雅黑" w:hAnsi="微软雅黑" w:cs="微软雅黑"/>
          <w:bCs w:val="0"/>
          <w:sz w:val="24"/>
          <w:szCs w:val="24"/>
        </w:rPr>
      </w:pPr>
      <w:r/>
      <w:bookmarkStart w:id="406" w:name="_Toc40"/>
      <w:r>
        <w:rPr>
          <w:rFonts w:hint="eastAsia" w:ascii="微软雅黑" w:hAnsi="微软雅黑" w:cs="微软雅黑"/>
          <w:bCs w:val="0"/>
          <w:sz w:val="24"/>
          <w:szCs w:val="24"/>
        </w:rPr>
        <w:t xml:space="preserve">6.4签订合同</w:t>
      </w:r>
      <w:bookmarkEnd w:id="406"/>
      <w:r/>
      <w:r/>
    </w:p>
    <w:p>
      <w:pPr>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p>
    <w:p>
      <w:pPr>
        <w:spacing w:line="42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spacing w:line="420" w:lineRule="exact"/>
        <w:rPr>
          <w:rFonts w:ascii="微软雅黑" w:hAnsi="微软雅黑" w:cs="微软雅黑"/>
        </w:rPr>
      </w:pPr>
      <w:r>
        <w:rPr>
          <w:rFonts w:ascii="微软雅黑" w:hAnsi="微软雅黑" w:cs="微软雅黑"/>
        </w:rPr>
      </w:r>
      <w:r/>
    </w:p>
    <w:p>
      <w:pPr>
        <w:pStyle w:val="1158"/>
        <w:rPr>
          <w:rFonts w:ascii="微软雅黑" w:hAnsi="微软雅黑" w:cs="微软雅黑"/>
        </w:rPr>
      </w:pPr>
      <w:r>
        <w:rPr>
          <w:rFonts w:ascii="微软雅黑" w:hAnsi="微软雅黑" w:cs="微软雅黑"/>
        </w:rPr>
      </w:r>
      <w:r/>
    </w:p>
    <w:p>
      <w:pPr>
        <w:pStyle w:val="1158"/>
        <w:rPr>
          <w:rFonts w:ascii="微软雅黑" w:hAnsi="微软雅黑" w:cs="微软雅黑"/>
        </w:rPr>
        <w:sectPr>
          <w:footnotePr/>
          <w:endnotePr/>
          <w:type w:val="nextPage"/>
          <w:pgSz w:w="11906" w:h="16838" w:orient="portrait"/>
          <w:pgMar w:top="1440" w:right="1803" w:bottom="1440" w:left="1803" w:header="851" w:footer="992" w:gutter="0"/>
          <w:cols w:num="1" w:sep="0" w:space="0" w:equalWidth="1"/>
          <w:docGrid w:linePitch="360"/>
        </w:sectPr>
      </w:pPr>
      <w:r>
        <w:rPr>
          <w:rFonts w:ascii="微软雅黑" w:hAnsi="微软雅黑" w:cs="微软雅黑"/>
        </w:rPr>
      </w:r>
      <w:r/>
    </w:p>
    <w:p>
      <w:pPr>
        <w:pStyle w:val="1348"/>
        <w:spacing w:line="360" w:lineRule="exact"/>
        <w:rPr>
          <w:rFonts w:ascii="微软雅黑" w:hAnsi="微软雅黑" w:cs="微软雅黑"/>
          <w:szCs w:val="32"/>
        </w:rPr>
      </w:pPr>
      <w:r/>
      <w:bookmarkStart w:id="407" w:name="_Toc41"/>
      <w:r>
        <w:rPr>
          <w:rFonts w:hint="eastAsia" w:ascii="微软雅黑" w:hAnsi="微软雅黑" w:cs="微软雅黑"/>
          <w:szCs w:val="32"/>
        </w:rPr>
        <w:t xml:space="preserve">第三章</w:t>
      </w:r>
      <w:r>
        <w:rPr>
          <w:rFonts w:hint="eastAsia" w:ascii="微软雅黑" w:hAnsi="微软雅黑" w:cs="微软雅黑"/>
          <w:szCs w:val="32"/>
        </w:rPr>
        <w:t xml:space="preserve"> 评标办法和定标原则</w:t>
      </w:r>
      <w:bookmarkEnd w:id="407"/>
      <w:r/>
      <w:r/>
    </w:p>
    <w:p>
      <w:pPr>
        <w:ind w:firstLine="420"/>
        <w:spacing w:line="42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jc w:val="left"/>
        <w:spacing w:line="420" w:lineRule="exact"/>
        <w:widowControl/>
        <w:rPr>
          <w:rFonts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p>
    <w:p>
      <w:pPr>
        <w:ind w:firstLine="420"/>
        <w:jc w:val="left"/>
        <w:spacing w:line="420" w:lineRule="exact"/>
        <w:widowControl/>
        <w:rPr>
          <w:rFonts w:ascii="微软雅黑" w:hAnsi="微软雅黑" w:cs="微软雅黑"/>
        </w:rPr>
      </w:pPr>
      <w:r>
        <w:rPr>
          <w:rFonts w:hint="eastAsia" w:ascii="微软雅黑" w:hAnsi="微软雅黑" w:cs="微软雅黑"/>
        </w:rPr>
        <w:t xml:space="preserve">（1）投标（响应）报价低于采购项目预算50%的；</w:t>
      </w:r>
      <w:r/>
    </w:p>
    <w:p>
      <w:pPr>
        <w:ind w:firstLine="420"/>
        <w:jc w:val="left"/>
        <w:spacing w:line="420" w:lineRule="exact"/>
        <w:widowControl/>
        <w:rPr>
          <w:rFonts w:ascii="微软雅黑" w:hAnsi="微软雅黑" w:cs="微软雅黑"/>
        </w:rPr>
      </w:pPr>
      <w:r>
        <w:rPr>
          <w:rFonts w:hint="eastAsia" w:ascii="微软雅黑" w:hAnsi="微软雅黑" w:cs="微软雅黑"/>
        </w:rPr>
        <w:t xml:space="preserve">（2）投标（响应）报价低于采购项目最高限价45%的；</w:t>
      </w:r>
      <w:r/>
    </w:p>
    <w:p>
      <w:pPr>
        <w:ind w:firstLine="420"/>
        <w:jc w:val="left"/>
        <w:spacing w:line="420" w:lineRule="exact"/>
        <w:widowControl/>
        <w:rPr>
          <w:rFonts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p>
    <w:p>
      <w:pPr>
        <w:ind w:firstLine="420"/>
        <w:jc w:val="left"/>
        <w:spacing w:line="420" w:lineRule="exact"/>
        <w:widowControl/>
        <w:rPr>
          <w:rFonts w:ascii="微软雅黑" w:hAnsi="微软雅黑" w:cs="微软雅黑"/>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spacing w:line="420" w:lineRule="exact"/>
        <w:widowControl/>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5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w:t>
            </w:r>
            <w:r>
              <w:rPr>
                <w:rFonts w:hint="eastAsia" w:ascii="微软雅黑" w:hAnsi="微软雅黑" w:cs="微软雅黑"/>
                <w:szCs w:val="21"/>
              </w:rPr>
              <w:t xml:space="preserve">法定代表人直接参与投标的可以不提供授权书</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5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4</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ascii="微软雅黑" w:hAnsi="微软雅黑" w:cs="微软雅黑"/>
                <w:lang w:val="zh-CN"/>
              </w:rPr>
            </w:pPr>
            <w:r/>
            <w:bookmarkStart w:id="217" w:name="OLE_LINK12"/>
            <w:r>
              <w:rPr>
                <w:rFonts w:hint="eastAsia" w:ascii="微软雅黑" w:hAnsi="微软雅黑" w:cs="微软雅黑"/>
                <w:lang w:val="zh-CN"/>
              </w:rPr>
              <w:t xml:space="preserve">不存在重大负偏离</w:t>
            </w:r>
            <w:bookmarkEnd w:id="217"/>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numPr>
          <w:ilvl w:val="0"/>
          <w:numId w:val="9"/>
        </w:numPr>
        <w:spacing w:line="420" w:lineRule="exact"/>
        <w:rPr>
          <w:rFonts w:ascii="微软雅黑" w:hAnsi="微软雅黑" w:cs="微软雅黑"/>
          <w:b/>
          <w:bCs/>
          <w:szCs w:val="21"/>
        </w:rPr>
      </w:pPr>
      <w:r/>
      <w:bookmarkStart w:id="218" w:name="_Hlk72848049"/>
      <w:r>
        <w:rPr>
          <w:rFonts w:hint="eastAsia" w:ascii="微软雅黑" w:hAnsi="微软雅黑" w:cs="微软雅黑"/>
          <w:b/>
          <w:bCs/>
        </w:rPr>
        <w:t xml:space="preserve">评分因素及分</w:t>
      </w:r>
      <w:r>
        <w:rPr>
          <w:rFonts w:hint="eastAsia" w:ascii="微软雅黑" w:hAnsi="微软雅黑" w:cs="微软雅黑"/>
          <w:b/>
          <w:bCs/>
          <w:szCs w:val="21"/>
        </w:rPr>
        <w:t xml:space="preserve">值</w:t>
      </w:r>
      <w:r/>
    </w:p>
    <w:tbl>
      <w:tblPr>
        <w:tblStyle w:val="1156"/>
        <w:tblW w:w="5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60"/>
        <w:gridCol w:w="6279"/>
        <w:gridCol w:w="919"/>
      </w:tblGrid>
      <w:tr>
        <w:trPr>
          <w:jc w:val="center"/>
          <w:trHeight w:val="556"/>
          <w:tblHeader/>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br w:type="page" w:clear="all"/>
            </w:r>
            <w:r>
              <w:rPr>
                <w:rFonts w:hint="eastAsia" w:ascii="微软雅黑" w:hAnsi="微软雅黑" w:cs="微软雅黑"/>
                <w:b/>
                <w:bCs/>
                <w:szCs w:val="21"/>
              </w:rPr>
              <w:br w:type="page" w:clear="all"/>
            </w:r>
            <w:r>
              <w:rPr>
                <w:rFonts w:hint="eastAsia" w:ascii="微软雅黑" w:hAnsi="微软雅黑" w:cs="微软雅黑"/>
                <w:b/>
                <w:bCs/>
                <w:szCs w:val="21"/>
              </w:rPr>
              <w:t xml:space="preserve">序号</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b/>
                <w:bCs/>
                <w:szCs w:val="21"/>
              </w:rPr>
            </w:pPr>
            <w:r>
              <w:rPr>
                <w:rFonts w:hint="eastAsia" w:ascii="微软雅黑" w:hAnsi="微软雅黑" w:cs="微软雅黑"/>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分值</w:t>
            </w:r>
            <w:r/>
          </w:p>
        </w:tc>
      </w:tr>
      <w:tr>
        <w:trPr>
          <w:jc w:val="center"/>
          <w:trHeight w:val="1747"/>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价格分</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hint="eastAsia" w:ascii="微软雅黑" w:hAnsi="微软雅黑" w:cs="微软雅黑"/>
                <w:color w:val="000000"/>
                <w:szCs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采用低价优先法计</w:t>
            </w:r>
            <w:r>
              <w:rPr>
                <w:rFonts w:hint="eastAsia" w:ascii="微软雅黑" w:hAnsi="微软雅黑" w:cs="微软雅黑"/>
                <w:color w:val="000000"/>
                <w:szCs w:val="21"/>
                <w:highlight w:val="none"/>
              </w:rPr>
              <w:t xml:space="preserve">算，即满足采购文件要求且</w:t>
            </w:r>
            <w:r>
              <w:rPr>
                <w:rFonts w:hint="default" w:ascii="微软雅黑" w:hAnsi="微软雅黑" w:cs="微软雅黑"/>
                <w:color w:val="000000"/>
                <w:szCs w:val="21"/>
                <w:highlight w:val="none"/>
              </w:rPr>
              <w:t xml:space="preserve">（1-</w:t>
            </w:r>
            <w:r>
              <w:rPr>
                <w:rFonts w:hint="eastAsia" w:ascii="微软雅黑" w:hAnsi="微软雅黑" w:cs="微软雅黑"/>
                <w:color w:val="000000"/>
                <w:szCs w:val="21"/>
                <w:highlight w:val="none"/>
                <w:lang w:eastAsia="zh-CN"/>
              </w:rPr>
              <w:t xml:space="preserve">投标</w:t>
            </w:r>
            <w:r>
              <w:rPr>
                <w:rFonts w:hint="default" w:ascii="微软雅黑" w:hAnsi="微软雅黑" w:cs="微软雅黑"/>
                <w:color w:val="000000"/>
                <w:szCs w:val="21"/>
                <w:highlight w:val="none"/>
              </w:rPr>
              <w:t xml:space="preserve">优惠率）最低</w:t>
            </w:r>
            <w:r>
              <w:rPr>
                <w:rFonts w:hint="eastAsia" w:ascii="微软雅黑" w:hAnsi="微软雅黑" w:cs="微软雅黑"/>
                <w:color w:val="000000"/>
                <w:szCs w:val="21"/>
                <w:highlight w:val="none"/>
                <w:lang w:eastAsia="zh-CN"/>
              </w:rPr>
              <w:t xml:space="preserve">的</w:t>
            </w:r>
            <w:r>
              <w:rPr>
                <w:rFonts w:hint="eastAsia" w:ascii="微软雅黑" w:hAnsi="微软雅黑" w:cs="微软雅黑"/>
                <w:color w:val="000000"/>
                <w:szCs w:val="21"/>
                <w:highlight w:val="none"/>
              </w:rPr>
              <w:t xml:space="preserve">投标人报价</w:t>
            </w:r>
            <w:r>
              <w:rPr>
                <w:rFonts w:hint="default" w:ascii="微软雅黑" w:hAnsi="微软雅黑" w:cs="微软雅黑"/>
                <w:color w:val="000000"/>
                <w:szCs w:val="21"/>
                <w:highlight w:val="none"/>
              </w:rPr>
              <w:t xml:space="preserve">为评</w:t>
            </w:r>
            <w:r>
              <w:rPr>
                <w:rFonts w:hint="eastAsia" w:ascii="微软雅黑" w:hAnsi="微软雅黑" w:cs="微软雅黑"/>
                <w:color w:val="000000"/>
                <w:szCs w:val="21"/>
                <w:highlight w:val="none"/>
                <w:lang w:eastAsia="zh-CN"/>
              </w:rPr>
              <w:t xml:space="preserve">标</w:t>
            </w:r>
            <w:r>
              <w:rPr>
                <w:rFonts w:hint="default" w:ascii="微软雅黑" w:hAnsi="微软雅黑" w:cs="微软雅黑"/>
                <w:color w:val="000000"/>
                <w:szCs w:val="21"/>
                <w:highlight w:val="none"/>
              </w:rPr>
              <w:t xml:space="preserve">基准价</w:t>
            </w:r>
            <w:r>
              <w:rPr>
                <w:rFonts w:hint="eastAsia" w:ascii="微软雅黑" w:hAnsi="微软雅黑" w:cs="微软雅黑"/>
                <w:color w:val="000000"/>
                <w:szCs w:val="21"/>
                <w:highlight w:val="none"/>
              </w:rPr>
              <w:t xml:space="preserve">，得满分30分。</w:t>
            </w:r>
            <w:r/>
          </w:p>
          <w:p>
            <w:pPr>
              <w:jc w:val="left"/>
              <w:spacing w:line="440" w:lineRule="exact"/>
              <w:rPr>
                <w:rFonts w:hint="eastAsia" w:ascii="微软雅黑" w:hAnsi="微软雅黑" w:cs="微软雅黑"/>
                <w:color w:val="000000"/>
                <w:szCs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highlight w:val="none"/>
              </w:rPr>
              <w:t xml:space="preserve">其它投标人的价格分统一按照以下公式计算：</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highlight w:val="none"/>
              </w:rPr>
              <w:t xml:space="preserve">报价得分=</w:t>
            </w:r>
            <w:r>
              <w:rPr>
                <w:rFonts w:hint="eastAsia" w:ascii="微软雅黑" w:hAnsi="微软雅黑" w:cs="微软雅黑"/>
                <w:szCs w:val="21"/>
                <w:highlight w:val="none"/>
              </w:rPr>
              <w:t xml:space="preserve">评标基准价</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lang w:val="en-US" w:eastAsia="zh-CN"/>
              </w:rPr>
              <w:t xml:space="preserve">1-</w:t>
            </w:r>
            <w:r>
              <w:rPr>
                <w:rFonts w:hint="eastAsia" w:ascii="微软雅黑" w:hAnsi="微软雅黑" w:cs="微软雅黑"/>
                <w:color w:val="000000"/>
                <w:szCs w:val="21"/>
                <w:highlight w:val="none"/>
              </w:rPr>
              <w:t xml:space="preserve">其它投标人</w:t>
            </w:r>
            <w:r>
              <w:rPr>
                <w:rFonts w:hint="eastAsia" w:ascii="微软雅黑" w:hAnsi="微软雅黑" w:cs="微软雅黑"/>
                <w:szCs w:val="21"/>
                <w:highlight w:val="none"/>
              </w:rPr>
              <w:t xml:space="preserve">投标优惠率</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30</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Borders>
              <w:left w:val="single" w:color="auto" w:sz="4" w:space="0"/>
              <w:right w:val="single" w:color="auto" w:sz="4" w:space="0"/>
            </w:tcBorders>
            <w:tcW w:w="680" w:type="pct"/>
            <w:vAlign w:val="center"/>
            <w:vMerge w:val="restart"/>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服务</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b/>
                <w:color w:val="000000"/>
                <w:szCs w:val="21"/>
              </w:rPr>
              <w:t xml:space="preserve">评委根据投标人提供的日常配送方案及响应时间评分：</w:t>
            </w:r>
            <w:r/>
          </w:p>
          <w:p>
            <w:pPr>
              <w:numPr>
                <w:ilvl w:val="0"/>
                <w:numId w:val="10"/>
              </w:numPr>
              <w:jc w:val="left"/>
              <w:spacing w:line="440" w:lineRule="exact"/>
              <w:rPr>
                <w:rFonts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投标人根据采购人提出的采购需求提供的日常配送方案合理可行，针对性强的得5分；</w:t>
            </w:r>
            <w:r/>
          </w:p>
          <w:p>
            <w:pPr>
              <w:numPr>
                <w:ilvl w:val="0"/>
                <w:numId w:val="10"/>
              </w:num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方案比较合理可行，针对性较强的得3分；</w:t>
            </w:r>
            <w:r/>
          </w:p>
          <w:p>
            <w:pPr>
              <w:numPr>
                <w:ilvl w:val="0"/>
                <w:numId w:val="10"/>
              </w:num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方案合理可行性、针对性一般的得1分；</w:t>
            </w:r>
            <w:r/>
          </w:p>
          <w:p>
            <w:pPr>
              <w:numPr>
                <w:ilvl w:val="0"/>
                <w:numId w:val="10"/>
              </w:num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未提供日常配送方案的不得分；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b/>
                <w:color w:val="000000"/>
                <w:szCs w:val="21"/>
              </w:rPr>
              <w:t xml:space="preserve">评委根据投标人提供的保障食品安全的制度方案评分：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（1）投标人根据自身对食品安全重要性的理解，提供在配送过程中对食品安全的保障措施健全</w:t>
            </w:r>
            <w:bookmarkStart w:id="219" w:name="OLE_LINK4"/>
            <w:r>
              <w:rPr>
                <w:rFonts w:hint="eastAsia" w:ascii="微软雅黑" w:hAnsi="微软雅黑" w:cs="微软雅黑"/>
                <w:color w:val="000000"/>
                <w:szCs w:val="21"/>
              </w:rPr>
              <w:t xml:space="preserve">完善</w:t>
            </w:r>
            <w:bookmarkEnd w:id="219"/>
            <w:r>
              <w:rPr>
                <w:rFonts w:hint="eastAsia" w:ascii="微软雅黑" w:hAnsi="微软雅黑" w:cs="微软雅黑"/>
                <w:color w:val="000000"/>
                <w:szCs w:val="21"/>
              </w:rPr>
              <w:t xml:space="preserve">，针对性强的得5分；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（2）投标人根据自身对食品安全重要性的理解，提供在配送过程中对食品安全的保障措施较为健全完善，针对性较强的得3分；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（3）投标人根据自身对食品安全重要性的理解，提供在配送过程中对食品安全的保障措施健全完善性、针对性一般的得1分；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（4）未提供保障食品安全的制度方案的本项不得分。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2.3</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b/>
                <w:color w:val="000000"/>
                <w:szCs w:val="21"/>
              </w:rPr>
              <w:t xml:space="preserve">投标人为满足采购人临时需求，能够提供包括临时安排人员、车辆、确保食材品质和及时送达验收使用，有应急管理机构、应急工作队伍、应急联系方式、应急处置措施等内容，不影响正常工作的承诺和服务方案，评委根据投标人提供的应急承诺和服务方案评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（1）应急服务承诺和服务方案内容完整，处置措施得力的得5分；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（2）应急服务承诺和服务方案内容较完整，处置措施较为得力的得3分；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（3）应急服务承诺和服务方案内容完整性和处置措施得力度一般的得1分；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（4）未提供应急承诺和服务方案的本项不得分。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2.4</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b/>
                <w:color w:val="000000"/>
                <w:szCs w:val="21"/>
              </w:rPr>
              <w:t xml:space="preserve">评委根据投标人提供的售后服务方案评分：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（1）售后服务方案内容完整，措施得力，针对性强的，得5分；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（2）售后服务方案内容较完整，措施较为得力，针对性较强的，得3分；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（3）售后服务方案内容完整性和措施得力度一般的，得1分；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（4）投标人未提供售后服务方案的本项不得分。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lang w:val="en-US" w:eastAsia="zh-CN"/>
              </w:rPr>
              <w:t xml:space="preserve">5</w:t>
            </w:r>
            <w:r/>
          </w:p>
        </w:tc>
      </w:tr>
      <w:tr>
        <w:trPr>
          <w:jc w:val="center"/>
          <w:trHeight w:val="90"/>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Borders>
              <w:left w:val="single" w:color="auto" w:sz="4" w:space="0"/>
              <w:right w:val="single" w:color="auto" w:sz="4" w:space="0"/>
            </w:tcBorders>
            <w:tcW w:w="680" w:type="pct"/>
            <w:vAlign w:val="center"/>
            <w:textDirection w:val="lrTb"/>
            <w:noWrap w:val="false"/>
          </w:tcPr>
          <w:p>
            <w:pPr>
              <w:jc w:val="center"/>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业绩</w:t>
            </w:r>
            <w:r/>
          </w:p>
        </w:tc>
        <w:tc>
          <w:tcPr>
            <w:tcBorders>
              <w:top w:val="single" w:color="auto" w:sz="4" w:space="0"/>
              <w:left w:val="single" w:color="auto" w:sz="4" w:space="0"/>
              <w:bottom w:val="single" w:color="auto" w:sz="4" w:space="0"/>
              <w:right w:val="single" w:color="auto" w:sz="4" w:space="0"/>
            </w:tcBorders>
            <w:tcW w:w="3388" w:type="pct"/>
            <w:textDirection w:val="lrTb"/>
            <w:noWrap w:val="false"/>
          </w:tcPr>
          <w:p>
            <w:pPr>
              <w:jc w:val="left"/>
              <w:spacing w:line="440" w:lineRule="exact"/>
              <w:rPr>
                <w:rFonts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评委根据投标人2023年1月1日（以合同签订日期为准）以来具有的类似项目，每提供一份合同材料得3分，满分9分。（同一业主合同或证明材料只能算一个业绩。）</w:t>
            </w:r>
            <w:r/>
          </w:p>
          <w:p>
            <w:pPr>
              <w:jc w:val="left"/>
              <w:spacing w:line="440" w:lineRule="exact"/>
              <w:rPr>
                <w:rFonts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注：须提供有效合同及服务期任意一次结算发票，缺项或未提供的不得分。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4.1</w:t>
            </w:r>
            <w:r/>
          </w:p>
        </w:tc>
        <w:tc>
          <w:tcPr>
            <w:tcBorders>
              <w:left w:val="single" w:color="auto" w:sz="4" w:space="0"/>
              <w:right w:val="single" w:color="auto" w:sz="4" w:space="0"/>
            </w:tcBorders>
            <w:tcW w:w="680" w:type="pct"/>
            <w:vAlign w:val="center"/>
            <w:vMerge w:val="restart"/>
            <w:textDirection w:val="lrTb"/>
            <w:noWrap w:val="false"/>
          </w:tcPr>
          <w:p>
            <w:pPr>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履约能力</w:t>
            </w:r>
            <w:r/>
          </w:p>
          <w:p>
            <w:pPr>
              <w:jc w:val="center"/>
              <w:spacing w:line="440" w:lineRule="exact"/>
              <w:rPr>
                <w:rFonts w:ascii="微软雅黑" w:hAnsi="微软雅黑" w:cs="微软雅黑"/>
                <w:szCs w:val="21"/>
              </w:rPr>
            </w:pPr>
            <w:r>
              <w:rPr>
                <w:rFonts w:hint="eastAsia" w:ascii="微软雅黑" w:hAnsi="微软雅黑" w:cs="微软雅黑"/>
                <w:szCs w:val="21"/>
              </w:rPr>
              <w:t xml:space="preserve">业绩</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A、仓储能力：</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（1）常温仓库：投标人提供自有或租赁的常温仓库，单个建筑面积在1000平方米及以上的得6分；低于1000平方米得3分；</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（2）冷冻库或冷藏库：投标人提供自有或租赁的冷冻库或冷藏库，单个建筑面积在200平方米及以上的得6分，低于200平方米得3分；</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提供：①仓储场所图片；②若为供应商名下的场所，则提供产权证明；③若为租赁的，则提供租赁协议和发票的复印件，租赁合同的租赁期不得少</w:t>
            </w:r>
            <w:r>
              <w:rPr>
                <w:rFonts w:hint="eastAsia" w:ascii="微软雅黑" w:hAnsi="微软雅黑" w:cs="微软雅黑"/>
                <w:szCs w:val="21"/>
              </w:rPr>
              <w:t xml:space="preserve">于本次采购合同期。</w:t>
            </w:r>
            <w:r>
              <w:rPr>
                <w:rFonts w:ascii="微软雅黑" w:hAnsi="微软雅黑" w:cs="微软雅黑"/>
                <w:szCs w:val="21"/>
              </w:rPr>
              <w:t xml:space="preserve">租赁期</w:t>
            </w:r>
            <w:r>
              <w:rPr>
                <w:rFonts w:hint="eastAsia" w:ascii="微软雅黑" w:hAnsi="微软雅黑" w:cs="微软雅黑"/>
                <w:szCs w:val="21"/>
              </w:rPr>
              <w:t xml:space="preserve">到期日须在2027年5月31日之后，或提供承诺租赁到期后保证按要求续租</w:t>
            </w:r>
            <w:r>
              <w:rPr>
                <w:rFonts w:ascii="微软雅黑" w:hAnsi="微软雅黑" w:cs="微软雅黑"/>
                <w:szCs w:val="21"/>
              </w:rPr>
              <w:t xml:space="preserve">仓储场所</w:t>
            </w:r>
            <w:r>
              <w:rPr>
                <w:rFonts w:hint="eastAsia" w:ascii="微软雅黑" w:hAnsi="微软雅黑" w:cs="微软雅黑"/>
                <w:szCs w:val="21"/>
              </w:rPr>
              <w:t xml:space="preserve">的承诺函。</w:t>
            </w:r>
            <w:r/>
          </w:p>
          <w:p>
            <w:pPr>
              <w:jc w:val="left"/>
              <w:spacing w:line="420" w:lineRule="exact"/>
              <w:rPr>
                <w:rFonts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证明材料里须明确体现仓储种类和面积，未按要求提供的不得分；本项不累计面积和数量计分。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r>
      <w:tr>
        <w:trPr>
          <w:jc w:val="center"/>
          <w:trHeight w:val="604"/>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4.2</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B、种植/养殖基地：</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供应商拥有长期自有或合作（或租赁）的种植/养殖基地总面积情况：</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（1）800亩（含）以上的得6分；</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（2）500亩(含)-800亩（不含）的得3分；</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（3）500亩（不含）以下的得1分；</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（4）无种植/养殖基地的得0分。</w:t>
            </w:r>
            <w:r/>
          </w:p>
          <w:p>
            <w:pPr>
              <w:jc w:val="left"/>
              <w:spacing w:line="42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如自有种养植</w:t>
            </w:r>
            <w:r>
              <w:rPr>
                <w:rFonts w:hint="eastAsia" w:ascii="微软雅黑" w:hAnsi="微软雅黑" w:cs="微软雅黑"/>
                <w:szCs w:val="21"/>
              </w:rPr>
              <w:t xml:space="preserve">基地须提供土地证明材料，如种养植基地为</w:t>
            </w:r>
            <w:r>
              <w:rPr>
                <w:rFonts w:hint="eastAsia" w:ascii="微软雅黑" w:hAnsi="微软雅黑" w:cs="微软雅黑"/>
                <w:color w:val="000000"/>
                <w:szCs w:val="21"/>
              </w:rPr>
              <w:t xml:space="preserve">合作（或租赁）</w:t>
            </w:r>
            <w:r>
              <w:rPr>
                <w:rFonts w:hint="eastAsia" w:ascii="微软雅黑" w:hAnsi="微软雅黑" w:cs="微软雅黑"/>
                <w:szCs w:val="21"/>
              </w:rPr>
              <w:t xml:space="preserve">须提供</w:t>
            </w:r>
            <w:r>
              <w:rPr>
                <w:rFonts w:hint="eastAsia" w:ascii="微软雅黑" w:hAnsi="微软雅黑" w:cs="微软雅黑"/>
                <w:color w:val="000000"/>
                <w:szCs w:val="21"/>
              </w:rPr>
              <w:t xml:space="preserve">合作协议（或</w:t>
            </w:r>
            <w:r>
              <w:rPr>
                <w:rFonts w:hint="eastAsia" w:ascii="微软雅黑" w:hAnsi="微软雅黑" w:cs="微软雅黑"/>
                <w:szCs w:val="21"/>
              </w:rPr>
              <w:t xml:space="preserve">土地租赁合同</w:t>
            </w:r>
            <w:r>
              <w:rPr>
                <w:rFonts w:hint="eastAsia" w:ascii="微软雅黑" w:hAnsi="微软雅黑" w:cs="微软雅黑"/>
                <w:color w:val="000000"/>
                <w:szCs w:val="21"/>
              </w:rPr>
              <w:t xml:space="preserve">）</w:t>
            </w:r>
            <w:r>
              <w:rPr>
                <w:rFonts w:hint="eastAsia" w:ascii="微软雅黑" w:hAnsi="微软雅黑" w:cs="微软雅黑"/>
                <w:szCs w:val="21"/>
              </w:rPr>
              <w:t xml:space="preserve">及土地证明材料，且材料里须明确体现种养植基地面积，</w:t>
            </w:r>
            <w:bookmarkStart w:id="220" w:name="OLE_LINK7"/>
            <w:r/>
            <w:bookmarkStart w:id="221" w:name="OLE_LINK8"/>
            <w:r>
              <w:rPr>
                <w:rFonts w:ascii="微软雅黑" w:hAnsi="微软雅黑" w:cs="微软雅黑"/>
                <w:szCs w:val="21"/>
              </w:rPr>
              <w:t xml:space="preserve">租赁期</w:t>
            </w:r>
            <w:r>
              <w:rPr>
                <w:rFonts w:hint="eastAsia" w:ascii="微软雅黑" w:hAnsi="微软雅黑" w:cs="微软雅黑"/>
                <w:szCs w:val="21"/>
              </w:rPr>
              <w:t xml:space="preserve">到期日须在2027年5月31日之后，或提供承诺租赁到期后保证按要求续租的承诺函</w:t>
            </w:r>
            <w:bookmarkEnd w:id="220"/>
            <w:r/>
            <w:bookmarkEnd w:id="221"/>
            <w:r>
              <w:rPr>
                <w:rFonts w:hint="eastAsia" w:ascii="宋体" w:hAnsi="宋体" w:cs="宋体"/>
                <w:sz w:val="22"/>
              </w:rPr>
              <w:t xml:space="preserve">，</w:t>
            </w:r>
            <w:r>
              <w:rPr>
                <w:rFonts w:hint="eastAsia" w:ascii="微软雅黑" w:hAnsi="微软雅黑" w:cs="微软雅黑"/>
                <w:szCs w:val="21"/>
              </w:rPr>
              <w:t xml:space="preserve">未按要求提供的不得分。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4.3</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C、配送车辆：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（1）投标人自有的配送货运车辆或租赁货运车辆数量打分，每具备一辆得2分（其中至少包含1辆冷藏车，否则本项不得分），最高得6分；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注：需提供车辆的权属</w:t>
            </w:r>
            <w:r>
              <w:rPr>
                <w:rFonts w:hint="eastAsia" w:ascii="微软雅黑" w:hAnsi="微软雅黑" w:cs="微软雅黑"/>
                <w:szCs w:val="21"/>
              </w:rPr>
              <w:t xml:space="preserve">证明、行驶证及车辆照片，如车辆为租赁的，则提供租赁合同及发票、行驶证及车辆照片。（其中租赁合同的租赁期不得少于本次采购合同期，</w:t>
            </w:r>
            <w:r>
              <w:rPr>
                <w:rFonts w:ascii="微软雅黑" w:hAnsi="微软雅黑" w:cs="微软雅黑"/>
                <w:szCs w:val="21"/>
              </w:rPr>
              <w:t xml:space="preserve">租赁期</w:t>
            </w:r>
            <w:r>
              <w:rPr>
                <w:rFonts w:hint="eastAsia" w:ascii="微软雅黑" w:hAnsi="微软雅黑" w:cs="微软雅黑"/>
                <w:szCs w:val="21"/>
              </w:rPr>
              <w:t xml:space="preserve">到期日须在2027年5月31日之后，或提供承诺租赁到期后保证按要求续租的承诺函，未按要求提供的不得分。）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4.4</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D、服务质量</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自2023年1月1日以来供应商提供服务单位出具的满意度证明材料（材料加盖服务单位公章或单位管理部门章）和与服务单位签订的服务合同，二者缺一不可，证明材料能够证明履约情况达到良好及以上的，每提供1份得2分，最多得6分。（时间以满意度评价表为准，同一业主的证明材料、合同只能算一个评价。）</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r>
      <w:tr>
        <w:trPr>
          <w:jc w:val="center"/>
          <w:trHeight w:val="1668"/>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4.5</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E、安全保险：</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投标人承诺，签订服务合同时必须购买食品安全责任险，累计赔付金额≧500万，并且投保期限同合同期限，得3分，未提供不得分。（提供承诺书加盖投标人公章，承诺书格式自拟）</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r>
      <w:tr>
        <w:trPr>
          <w:jc w:val="center"/>
          <w:trHeight w:val="1587"/>
        </w:trPr>
        <w:tc>
          <w:tcPr>
            <w:tcBorders>
              <w:left w:val="single" w:color="auto" w:sz="4" w:space="0"/>
              <w:right w:val="single" w:color="auto" w:sz="4" w:space="0"/>
            </w:tcBorders>
            <w:tcW w:w="435"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4.6</w:t>
            </w:r>
            <w:r/>
          </w:p>
        </w:tc>
        <w:tc>
          <w:tcPr>
            <w:tcBorders>
              <w:left w:val="single" w:color="auto" w:sz="4" w:space="0"/>
              <w:right w:val="single" w:color="auto" w:sz="4" w:space="0"/>
            </w:tcBorders>
            <w:tcW w:w="680" w:type="pct"/>
            <w:vAlign w:val="center"/>
            <w:vMerge w:val="continue"/>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F、人员配备</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针对本项目的人员配置情况，投标文件中须提供人员证书扫描件。</w:t>
            </w:r>
            <w:r/>
          </w:p>
          <w:p>
            <w:pPr>
              <w:jc w:val="left"/>
              <w:spacing w:line="440" w:lineRule="exact"/>
              <w:rPr>
                <w:rFonts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（1）服务团队人员中具有农产品食品检验员高级及以上证书的，每有1个得2分，最高得2分。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（2）服务团队人员中具有有效的健康证的，每有1个得2分，最高得6分。</w:t>
            </w:r>
            <w:r/>
          </w:p>
          <w:p>
            <w:pPr>
              <w:jc w:val="left"/>
              <w:spacing w:line="440" w:lineRule="exact"/>
              <w:rPr>
                <w:rFonts w:ascii="微软雅黑" w:hAnsi="微软雅黑" w:cs="微软雅黑"/>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提供证书复印件及投标人为其缴纳的2025年11月以</w:t>
            </w:r>
            <w:bookmarkStart w:id="366" w:name="_GoBack"/>
            <w:r/>
            <w:bookmarkEnd w:id="366"/>
            <w:r>
              <w:rPr>
                <w:rFonts w:hint="eastAsia" w:ascii="微软雅黑" w:hAnsi="微软雅黑" w:cs="微软雅黑"/>
                <w:color w:val="000000"/>
                <w:szCs w:val="21"/>
              </w:rPr>
              <w:t xml:space="preserve">来任意一个月社保证明，缺项或未提供的不得分。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r>
      <w:tr>
        <w:trPr>
          <w:jc w:val="center"/>
          <w:trHeight w:val="497"/>
        </w:trPr>
        <w:tc>
          <w:tcPr>
            <w:gridSpan w:val="3"/>
            <w:tcBorders>
              <w:left w:val="single" w:color="auto" w:sz="4" w:space="0"/>
              <w:right w:val="single" w:color="auto" w:sz="4" w:space="0"/>
            </w:tcBorders>
            <w:tcW w:w="4503" w:type="pct"/>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合计</w:t>
            </w:r>
            <w:r/>
          </w:p>
        </w:tc>
        <w:tc>
          <w:tcPr>
            <w:tcBorders>
              <w:left w:val="single" w:color="auto" w:sz="4" w:space="0"/>
              <w:right w:val="single" w:color="auto" w:sz="4" w:space="0"/>
            </w:tcBorders>
            <w:tcW w:w="496" w:type="pct"/>
            <w:vAlign w:val="center"/>
            <w:textDirection w:val="lrTb"/>
            <w:noWrap w:val="false"/>
          </w:tcPr>
          <w:p>
            <w:pPr>
              <w:jc w:val="center"/>
              <w:spacing w:line="440" w:lineRule="exact"/>
              <w:rPr>
                <w:rFonts w:hint="default" w:ascii="微软雅黑" w:hAnsi="微软雅黑" w:cs="微软雅黑"/>
                <w:szCs w:val="21"/>
              </w:rPr>
            </w:pPr>
            <w:r>
              <w:rPr>
                <w:rFonts w:hint="default" w:ascii="微软雅黑" w:hAnsi="微软雅黑" w:cs="微软雅黑"/>
                <w:szCs w:val="21"/>
              </w:rPr>
              <w:fldChar w:fldCharType="begin"/>
            </w:r>
            <w:r>
              <w:rPr>
                <w:rFonts w:hint="default" w:ascii="微软雅黑" w:hAnsi="微软雅黑" w:cs="微软雅黑"/>
                <w:szCs w:val="21"/>
              </w:rPr>
              <w:instrText xml:space="preserve"> =SUM(ABOVE) \* MERGEFORMAT </w:instrText>
            </w:r>
            <w:r>
              <w:rPr>
                <w:rFonts w:hint="default" w:ascii="微软雅黑" w:hAnsi="微软雅黑" w:cs="微软雅黑"/>
                <w:szCs w:val="21"/>
              </w:rPr>
              <w:fldChar w:fldCharType="separate"/>
            </w:r>
            <w:r>
              <w:rPr>
                <w:rFonts w:hint="default" w:ascii="微软雅黑" w:hAnsi="微软雅黑" w:cs="微软雅黑"/>
                <w:szCs w:val="21"/>
              </w:rPr>
              <w:t xml:space="preserve">100</w:t>
            </w:r>
            <w:r>
              <w:rPr>
                <w:rFonts w:hint="default" w:ascii="微软雅黑" w:hAnsi="微软雅黑" w:cs="微软雅黑"/>
                <w:szCs w:val="21"/>
              </w:rPr>
              <w:fldChar w:fldCharType="end"/>
            </w:r>
            <w:r/>
          </w:p>
        </w:tc>
      </w:tr>
    </w:tbl>
    <w:p>
      <w:pPr>
        <w:spacing w:line="44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numPr>
          <w:ilvl w:val="0"/>
          <w:numId w:val="11"/>
        </w:numPr>
        <w:spacing w:line="400" w:lineRule="exact"/>
        <w:rPr>
          <w:rFonts w:ascii="微软雅黑" w:hAnsi="微软雅黑" w:cs="微软雅黑"/>
          <w:b/>
          <w:bCs/>
          <w:szCs w:val="21"/>
        </w:rPr>
      </w:pPr>
      <w:r>
        <w:rPr>
          <w:rFonts w:hint="eastAsia" w:ascii="微软雅黑" w:hAnsi="微软雅黑" w:cs="微软雅黑"/>
          <w:b/>
          <w:bCs/>
          <w:szCs w:val="21"/>
        </w:rPr>
        <w:t xml:space="preserve">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本项目对小型和微型企业产品、服务给予10%的扣除价格，用扣除后的价格参与评审。</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14"/>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14"/>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4"/>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pPr>
      <w:r>
        <w:rPr>
          <w:rFonts w:hint="eastAsia" w:ascii="微软雅黑" w:hAnsi="微软雅黑" w:cs="微软雅黑"/>
          <w:szCs w:val="21"/>
        </w:rPr>
        <w:t xml:space="preserve">4.残疾人福利单位、监狱企业属于小型、微型企业的，不重复享受政策。</w:t>
      </w:r>
      <w:bookmarkEnd w:id="218"/>
      <w:r>
        <w:rPr>
          <w:rFonts w:ascii="微软雅黑" w:hAnsi="微软雅黑" w:cs="微软雅黑"/>
          <w:szCs w:val="21"/>
        </w:rPr>
      </w:r>
      <w:r/>
    </w:p>
    <w:p>
      <w:pPr>
        <w:ind w:firstLine="420"/>
        <w:spacing w:line="400" w:lineRule="exact"/>
        <w:rPr>
          <w:rFonts w:ascii="微软雅黑" w:hAnsi="微软雅黑" w:cs="微软雅黑"/>
        </w:rPr>
      </w:pPr>
      <w:r>
        <w:rPr>
          <w:rFonts w:hint="eastAsia" w:ascii="微软雅黑" w:hAnsi="微软雅黑" w:cs="微软雅黑"/>
          <w:szCs w:val="32"/>
        </w:rPr>
        <w:t xml:space="preserve">5.本国产品的价格扣除：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项目不适用本国产品标准。</w:t>
      </w:r>
      <w:r>
        <w:rPr>
          <w:rFonts w:hint="eastAsia" w:ascii="微软雅黑" w:hAnsi="微软雅黑" w:cs="微软雅黑"/>
          <w:szCs w:val="32"/>
        </w:rPr>
        <w:br w:type="page" w:clear="all"/>
      </w:r>
      <w:r>
        <w:rPr>
          <w:rFonts w:ascii="微软雅黑" w:hAnsi="微软雅黑" w:cs="微软雅黑"/>
          <w:szCs w:val="21"/>
        </w:rPr>
      </w:r>
      <w:r/>
    </w:p>
    <w:p>
      <w:pPr>
        <w:pStyle w:val="1348"/>
        <w:numPr>
          <w:ilvl w:val="255"/>
          <w:numId w:val="0"/>
        </w:numPr>
        <w:spacing w:line="360" w:lineRule="exact"/>
        <w:rPr>
          <w:rFonts w:ascii="微软雅黑" w:hAnsi="微软雅黑" w:cs="微软雅黑"/>
          <w:szCs w:val="32"/>
        </w:rPr>
      </w:pPr>
      <w:r/>
      <w:bookmarkStart w:id="408" w:name="_Toc42"/>
      <w:r>
        <w:rPr>
          <w:rFonts w:hint="eastAsia" w:ascii="微软雅黑" w:hAnsi="微软雅黑" w:cs="微软雅黑"/>
          <w:szCs w:val="32"/>
        </w:rPr>
        <w:t xml:space="preserve">第四章 项目采购需求</w:t>
      </w:r>
      <w:bookmarkEnd w:id="408"/>
      <w:r/>
      <w:r/>
    </w:p>
    <w:p>
      <w:pPr>
        <w:rPr>
          <w:b/>
          <w:bCs/>
        </w:rPr>
      </w:pPr>
      <w:r>
        <w:rPr>
          <w:rFonts w:hint="eastAsia"/>
          <w:b/>
          <w:bCs/>
        </w:rPr>
        <w:t xml:space="preserve">采购文件中标注“</w:t>
      </w:r>
      <w:bookmarkStart w:id="226" w:name="OLE_LINK6"/>
      <w:r/>
      <w:bookmarkStart w:id="227" w:name="OLE_LINK5"/>
      <w:r>
        <w:rPr>
          <w:rFonts w:hint="eastAsia"/>
          <w:b/>
          <w:bCs/>
        </w:rPr>
        <w:t xml:space="preserve">★</w:t>
      </w:r>
      <w:bookmarkEnd w:id="226"/>
      <w:r/>
      <w:bookmarkEnd w:id="227"/>
      <w:r>
        <w:rPr>
          <w:rFonts w:hint="eastAsia"/>
          <w:b/>
          <w:bCs/>
        </w:rPr>
        <w:t xml:space="preserve">”的内容为实质性要求，有一项不符合的，作无效投标处理。</w:t>
      </w:r>
      <w:r/>
    </w:p>
    <w:p>
      <w:pPr>
        <w:pStyle w:val="1147"/>
        <w:spacing w:before="120" w:after="0"/>
        <w:rPr>
          <w:rFonts w:ascii="微软雅黑" w:hAnsi="微软雅黑" w:eastAsia="微软雅黑" w:cs="微软雅黑"/>
          <w:b/>
          <w:bCs/>
          <w:sz w:val="21"/>
          <w:szCs w:val="21"/>
        </w:rPr>
      </w:pPr>
      <w:r/>
      <w:bookmarkStart w:id="409" w:name="_Toc43"/>
      <w:r>
        <w:rPr>
          <w:rFonts w:hint="eastAsia" w:ascii="微软雅黑" w:hAnsi="微软雅黑" w:eastAsia="微软雅黑" w:cs="微软雅黑"/>
          <w:b/>
          <w:bCs/>
          <w:sz w:val="21"/>
          <w:szCs w:val="21"/>
        </w:rPr>
        <w:t xml:space="preserve">一、项目概况</w:t>
      </w:r>
      <w:bookmarkEnd w:id="409"/>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1、南京市六合区人民法院食材供应及配送服务，采购内容包括米面杂粮类、方便速食、豆制品类、酱菜类、干货调料、肉品冻货、水产类、禽蛋类、畜禽肉、蔬果类、食用油类、牛奶类等。</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2、服务期：1年。</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3、配送地点：六合法院审判法庭（六合区龙池街道龙华东路2号）、程桥法庭（六合区程桥街道编钟东路102号）、城东法庭（六合区雄州东路297号）。注：城东法庭正在修缮，恢复使用后需配送食材。</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w:t>
      </w:r>
      <w:r>
        <w:rPr>
          <w:rFonts w:ascii="微软雅黑" w:hAnsi="微软雅黑" w:cs="微软雅黑"/>
          <w:szCs w:val="21"/>
        </w:rPr>
        <w:t xml:space="preserve">、本项目最终结算费用以实际供货量为准，采购人根据实际需求情况向中标供应商下订单，采购人不保证年采购金额一定达到或超过预估采购金额。</w:t>
      </w:r>
      <w:r/>
    </w:p>
    <w:p>
      <w:pPr>
        <w:pStyle w:val="1147"/>
        <w:spacing w:before="120" w:after="0"/>
        <w:rPr>
          <w:rFonts w:ascii="微软雅黑" w:hAnsi="微软雅黑" w:eastAsia="微软雅黑" w:cs="微软雅黑"/>
          <w:b/>
          <w:bCs/>
          <w:sz w:val="21"/>
          <w:szCs w:val="21"/>
        </w:rPr>
      </w:pPr>
      <w:r/>
      <w:bookmarkStart w:id="410" w:name="_Toc44"/>
      <w:r>
        <w:rPr>
          <w:rFonts w:hint="eastAsia" w:ascii="微软雅黑" w:hAnsi="微软雅黑" w:eastAsia="微软雅黑" w:cs="微软雅黑"/>
          <w:b/>
          <w:bCs/>
          <w:sz w:val="22"/>
          <w:szCs w:val="22"/>
        </w:rPr>
        <w:t xml:space="preserve">★</w:t>
      </w:r>
      <w:r>
        <w:rPr>
          <w:rFonts w:hint="eastAsia" w:ascii="微软雅黑" w:hAnsi="微软雅黑" w:eastAsia="微软雅黑" w:cs="微软雅黑"/>
          <w:b/>
          <w:bCs/>
          <w:sz w:val="21"/>
          <w:szCs w:val="21"/>
        </w:rPr>
        <w:t xml:space="preserve">二、食材质量要求</w:t>
      </w:r>
      <w:bookmarkEnd w:id="410"/>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1、为保证员工用餐食品安全，供应商所供食材应为同类产品中的综合质量优良产品，同等条件下，具有可追溯，通过认证的绿色食品、有机食品优先。</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2、供应商应严格遵守《食品安全法》和《动物检疫法》等相关规定，严格保证食品质量符合国家相关产品质量标准，符合国家各级强制性规范的要求。在食材供应期间如出现因使用其提供的食品导致食物中毒的事故发生，供应商应对此承担一切法律责任。</w:t>
      </w:r>
      <w:r/>
    </w:p>
    <w:p>
      <w:pPr>
        <w:ind w:firstLine="420"/>
        <w:jc w:val="left"/>
        <w:spacing w:line="440" w:lineRule="exact"/>
        <w:widowControl/>
        <w:rPr>
          <w:rFonts w:ascii="微软雅黑" w:hAnsi="微软雅黑" w:cs="微软雅黑"/>
          <w:color w:val="auto"/>
          <w:szCs w:val="21"/>
        </w:rPr>
      </w:pPr>
      <w:r>
        <w:rPr>
          <w:rFonts w:hint="eastAsia" w:ascii="微软雅黑" w:hAnsi="微软雅黑" w:cs="微软雅黑"/>
          <w:szCs w:val="21"/>
        </w:rPr>
        <w:t xml:space="preserve">3、供应商应保证所提供的食品在</w:t>
      </w:r>
      <w:r>
        <w:rPr>
          <w:rFonts w:hint="eastAsia" w:ascii="微软雅黑" w:hAnsi="微软雅黑" w:cs="微软雅黑"/>
          <w:color w:val="auto"/>
          <w:szCs w:val="21"/>
        </w:rPr>
        <w:t xml:space="preserve">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jc w:val="left"/>
        <w:spacing w:line="440" w:lineRule="exact"/>
        <w:widowControl/>
        <w:rPr>
          <w:rFonts w:ascii="微软雅黑" w:hAnsi="微软雅黑" w:cs="微软雅黑"/>
          <w:color w:val="auto"/>
          <w:szCs w:val="21"/>
        </w:rPr>
      </w:pPr>
      <w:r>
        <w:rPr>
          <w:rFonts w:hint="eastAsia" w:ascii="微软雅黑" w:hAnsi="微软雅黑" w:cs="微软雅黑"/>
          <w:color w:val="auto"/>
          <w:szCs w:val="21"/>
        </w:rPr>
        <w:t xml:space="preserve">4、一经发现供应以下食品，供应商除全部退货外并及时采取补救措施，同时供应商还应承担由此造成的经济责任和法律责任：</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4.1腐败变质、油脂酸败、霉变、生虫、污秽不洁、混有异物或者其他感官性状异常，对人体健康有害的；</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4.2含有毒、有害物质或者被有害物质污染，对人体健康有害的；含有严重超出标准限量的农药残留、兽药残留、重金属、污染物质以及其他危害人体健康的；</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4.3含有致病性寄生虫、微生物或微生物含量超过国家限定标准的；</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4.4未经动物检疫部门检疫、检验或者检疫、检验不合格的肉类及其制品；</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4.5病死、毒死或者死因不明的禽、畜、兽、水产动物等及其制品；</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4.6掺假、掺杂、伪造，影响营养、卫生的；</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4.7用非食品原料加工的，加入非食品用化学物质或者将非食品当作食品的；</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4.8超过保质期限的。</w:t>
      </w:r>
      <w:r/>
    </w:p>
    <w:p>
      <w:pPr>
        <w:pStyle w:val="1147"/>
        <w:spacing w:before="120" w:after="0"/>
        <w:rPr>
          <w:rFonts w:hint="eastAsia" w:ascii="微软雅黑" w:hAnsi="微软雅黑" w:eastAsia="微软雅黑" w:cs="微软雅黑"/>
          <w:b/>
          <w:bCs/>
          <w:sz w:val="21"/>
          <w:szCs w:val="21"/>
        </w:rPr>
      </w:pPr>
      <w:r/>
      <w:bookmarkStart w:id="411" w:name="_Toc45"/>
      <w:r>
        <w:rPr>
          <w:rFonts w:hint="eastAsia" w:ascii="微软雅黑" w:hAnsi="微软雅黑" w:eastAsia="微软雅黑" w:cs="微软雅黑"/>
          <w:b/>
          <w:bCs/>
          <w:sz w:val="22"/>
          <w:szCs w:val="22"/>
        </w:rPr>
        <w:t xml:space="preserve">★</w:t>
      </w:r>
      <w:r>
        <w:rPr>
          <w:rFonts w:hint="eastAsia" w:ascii="微软雅黑" w:hAnsi="微软雅黑" w:eastAsia="微软雅黑" w:cs="微软雅黑"/>
          <w:b/>
          <w:bCs/>
          <w:sz w:val="21"/>
          <w:szCs w:val="21"/>
        </w:rPr>
        <w:t xml:space="preserve">三、食材配送及交货要求</w:t>
      </w:r>
      <w:bookmarkEnd w:id="411"/>
      <w:r/>
      <w:r/>
    </w:p>
    <w:p>
      <w:pPr>
        <w:ind w:firstLine="420"/>
        <w:jc w:val="left"/>
        <w:spacing w:line="440" w:lineRule="exact"/>
        <w:widowControl/>
        <w:rPr>
          <w:rFonts w:ascii="微软雅黑" w:hAnsi="微软雅黑" w:cs="微软雅黑"/>
          <w:szCs w:val="21"/>
          <w:highlight w:val="none"/>
        </w:rPr>
      </w:pPr>
      <w:r>
        <w:rPr>
          <w:rFonts w:hint="eastAsia" w:ascii="微软雅黑" w:hAnsi="微软雅黑" w:cs="微软雅黑"/>
          <w:szCs w:val="21"/>
        </w:rPr>
        <w:t xml:space="preserve">1、当月供应的食材报价以当月第二周同品种南京</w:t>
      </w:r>
      <w:r>
        <w:rPr>
          <w:rFonts w:hint="eastAsia" w:ascii="微软雅黑" w:hAnsi="微软雅黑" w:cs="微软雅黑"/>
          <w:szCs w:val="21"/>
          <w:highlight w:val="none"/>
        </w:rPr>
        <w:t xml:space="preserve">市发展和改革委员会官网（http:// fgw.nanjing.gov.cn）价格信息栏发布的“南京市部分农贸市场主副食品周平均价格水平”（如遇南京市发展和改革委员会官网中未列出品种，以六合区同期（当月第二周）同类农贸市场零售价或附近其他大型商超零售价为参考）为基础</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按照中标优惠率进行</w:t>
      </w:r>
      <w:r>
        <w:rPr>
          <w:rFonts w:hint="eastAsia" w:ascii="微软雅黑" w:hAnsi="微软雅黑" w:cs="微软雅黑"/>
          <w:szCs w:val="21"/>
          <w:highlight w:val="none"/>
          <w:lang w:eastAsia="zh-CN"/>
        </w:rPr>
        <w:t xml:space="preserve">下浮</w:t>
      </w:r>
      <w:r>
        <w:rPr>
          <w:rFonts w:hint="eastAsia" w:ascii="微软雅黑" w:hAnsi="微软雅黑" w:cs="微软雅黑"/>
          <w:szCs w:val="21"/>
          <w:highlight w:val="none"/>
        </w:rPr>
        <w:t xml:space="preserve">计算。</w:t>
      </w:r>
      <w:r/>
    </w:p>
    <w:p>
      <w:pPr>
        <w:ind w:firstLine="420"/>
        <w:jc w:val="left"/>
        <w:spacing w:line="440" w:lineRule="exact"/>
        <w:widowControl/>
        <w:rPr>
          <w:rFonts w:ascii="微软雅黑" w:hAnsi="微软雅黑" w:cs="微软雅黑"/>
          <w:szCs w:val="21"/>
          <w:highlight w:val="none"/>
        </w:rPr>
      </w:pPr>
      <w:r>
        <w:rPr>
          <w:rFonts w:hint="eastAsia" w:ascii="微软雅黑" w:hAnsi="微软雅黑" w:cs="微软雅黑"/>
          <w:szCs w:val="21"/>
          <w:highlight w:val="none"/>
        </w:rPr>
        <w:t xml:space="preserve">2、配送要求</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highlight w:val="none"/>
        </w:rPr>
        <w:t xml:space="preserve">2.1送货地点及时间：按采购人要求将食材在规定时间内送至</w:t>
      </w:r>
      <w:r>
        <w:rPr>
          <w:rFonts w:hint="eastAsia" w:ascii="微软雅黑" w:hAnsi="微软雅黑" w:cs="微软雅黑"/>
          <w:szCs w:val="21"/>
        </w:rPr>
        <w:t xml:space="preserve">规定地点（特殊情况除外），提前或推迟送货，采购人有权拒绝验收签单。</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2.2供货品种及数量：供应商保证配送品种数量的准确性，并以采购人的验货数量为准。</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2.3无条件调换：食材质量标准按采购人要求执行，如采购人提出货物品质不符合要求，则供应商无条件上门更换。</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3、其他要求：</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3.1供应商应至少配备2名配送人员，以保证供货的及时性。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3.2供应商每日送货须提供质量检验报告。供应商需将采购人当日需要的所有食材、商品一次性打包送达，不允许分包给多家供应商及多次送货。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4、验货要求：</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4.1供应商保证配送品种数量的准确性，并以采购人的验货数量为准。</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4.2供应商每次供货，应与采购人验收员共同将货物品种、数量、单价等信息录入采购人食堂管理系统（供应商可在手机小程序中查询），以此作为送、收货的凭证。每月底，以此系统汇总表并供应商、采购人验收员的签字后作为结算凭证，否则视为无效供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4.3按采购人要求将食材在指定时间送至采购人指定地点。供应商如送货迟到超过30分钟，可扣罚500元-2000元。若超过时间60分钟，可扣罚2000元-4000元。三次以上，终止合同。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5、供应商需具备应急采购、储备、运输等能力，及时响应。采购人因特殊情况需加送食材时，供应商务必自接到电话订送时2小时内送达指定地点，不得推诿延误，保证送货时效性。若造成影响，根据情节轻重给予相应的处理，直至中止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6、供应商应详细计划安排配送工作，防止误点错送，因天气、市场休市、疫情等不可抗力等原因无法按时到货时，供应商应制定并及时启动应急预案，确保采购人的需求能按时、按质、足量配送到位。</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7、供应商通讯工具应24小时保持畅通，保证随时响应。</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8、到货后，采购人将及时安排验收人员按照订购商品的品名、规格、产地、数量、价格、包装、生产日期、保质期、检验（检疫）报告之规定进行初步验收，验收人员在送货单上签字确认。如商品不符合采购需求及订单要求的，供应商应按照采购人要求及时调整更换，采购人也可以拒绝接收。对于特殊情况下采购人无法验收完毕的，应当在出具的收货凭证上注明待验收，同时告知验收完毕的具体时间。</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9、涉及到检验检疫的产品，供应商需提供国家或江苏省认可的相关检验检疫合格证明。</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10、货物内在质量由供应商负责。采购人对货物内在质量存在质疑时，供应商同意采购人将该商品交质量监督检验机构检验，送检商品质量合格的，检验费由采购人承担，不合格的则由供应商承担。</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11、采购人可对供应商提供的货物进行多次的定期或不定期抽样送检，送检商品质量合格的，检验费由采购人承担，不合格的则由供应商承担。</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12、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13、送货车辆实行一小时配送圈运作，目的地在一小时内的用保温车配送，一小时以外的用制冷车配送，保证冷冻肉中心温度控制在-2摄氏度至7摄氏度的范围之内，保证运输过程冷链不中断。商品到达目的地时外包装箱干爽，无软化现象。</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14、供应商固定配送人员及车辆，配送人员持有健康证；人员及车辆遵守采购人管理要求，接受采购人统一管理，发生任何人员与设施损伤，均由供应商承担责任。</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15、对食品安全质量问题的抽查处理。对危及人身安全的食品质量问题采取零容忍措施，若发现以下情况，采购人有权取消供应商供货资格，取消供应商供货合同并没收履约保证金，供应商同时承担相应的民事及刑事法律责任及放弃先诉抗辩权。（1）抽查发现食品安全质量问题，如水产品中发现腐臭鱼，发现腐败变质肉类等；（2）抽查未发现食品安全质量问题，但在加工食用前发现部分产品质量问题。</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16、抽查发现资质证照不全问题的处理：</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16.1整批产品无政府部门出具的动植物检疫合格证明的全部退货；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16.2抽查发现部分产品无政府部门出具的动植物检疫合格证明，加抽 15%，两次抽查数50%以上没有动植物检疫合格证明的，全部退货；50%以下没有动植物检疫合格证明的，将无动植物检疫合格证明的货物退货；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16.3抽查发现部分产品无第三方出具的产品质量检验报告的，加抽 15%，两次抽查数 50% 以上没有产品质量检验报告的，全部退货；50%以下没有产品质量检验报告的，将无产品质量检验报告的货物退货。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17、所有食材按采购人要求进行配送。鲜活类食品验收时确保成活率，验收完后，现场按需求进行加工；家禽类现场进行剖膛加工；肉类（含猪、牛、羊肉等）按需加工后送货；蔬菜类净菜配送验收。</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18、采购人提前将采购清单发至供应商，供应商须在当日内做出响应，如有某些菜品出现市场断档，当日及时告知采购人，以便采购人做出必要调整。供应商必须按照采购清单在每日（全年无休）的早上6:30-7:30之间将食材送货至采购人指定地点交接验收，合格后签收货单，并作为每月结算依据。食材不符合接收要求的，需在当日10:00前补充至满足验收签收要求，没有按时按要求配送到位，影响采购人食堂正常开餐的，将对责任供应商进行处罚。</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附件</w:t>
      </w:r>
      <w:bookmarkStart w:id="231" w:name="OLE_LINK10"/>
      <w:r/>
      <w:bookmarkStart w:id="232" w:name="OLE_LINK9"/>
      <w:r>
        <w:rPr>
          <w:rFonts w:hint="eastAsia" w:ascii="微软雅黑" w:hAnsi="微软雅黑" w:cs="微软雅黑"/>
          <w:szCs w:val="21"/>
        </w:rPr>
        <w:t xml:space="preserve">采购品种及相关要求</w:t>
      </w:r>
      <w:bookmarkEnd w:id="231"/>
      <w:r/>
      <w:bookmarkEnd w:id="232"/>
      <w:r>
        <w:rPr>
          <w:rFonts w:hint="eastAsia" w:ascii="微软雅黑" w:hAnsi="微软雅黑" w:cs="微软雅黑"/>
          <w:szCs w:val="21"/>
        </w:rPr>
        <w:t xml:space="preserve">：</w:t>
      </w:r>
      <w:r>
        <w:rPr>
          <w:rFonts w:ascii="微软雅黑" w:hAnsi="微软雅黑" w:cs="微软雅黑"/>
          <w:szCs w:val="21"/>
        </w:rPr>
      </w:r>
      <w:r/>
    </w:p>
    <w:tbl>
      <w:tblPr>
        <w:tblStyle w:val="1185"/>
        <w:tblW w:w="9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918"/>
        <w:gridCol w:w="4723"/>
        <w:gridCol w:w="1544"/>
      </w:tblGrid>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b/>
                <w:sz w:val="21"/>
                <w:szCs w:val="21"/>
              </w:rPr>
            </w:pPr>
            <w:r>
              <w:rPr>
                <w:rFonts w:hint="eastAsia" w:ascii="微软雅黑" w:hAnsi="微软雅黑" w:eastAsia="微软雅黑" w:cs="微软雅黑"/>
                <w:b/>
                <w:sz w:val="21"/>
                <w:szCs w:val="21"/>
              </w:rPr>
              <w:t xml:space="preserve">品类</w:t>
            </w:r>
            <w:r/>
          </w:p>
        </w:tc>
        <w:tc>
          <w:tcPr>
            <w:tcW w:w="1027" w:type="pct"/>
            <w:vAlign w:val="center"/>
            <w:textDirection w:val="lrTb"/>
            <w:noWrap w:val="false"/>
          </w:tcPr>
          <w:p>
            <w:pPr>
              <w:pStyle w:val="1165"/>
              <w:ind w:firstLine="0"/>
              <w:jc w:val="center"/>
              <w:spacing w:line="280" w:lineRule="exact"/>
              <w:rPr>
                <w:rFonts w:ascii="微软雅黑" w:hAnsi="微软雅黑" w:eastAsia="微软雅黑" w:cs="微软雅黑"/>
                <w:b/>
                <w:sz w:val="21"/>
                <w:szCs w:val="21"/>
              </w:rPr>
            </w:pPr>
            <w:r>
              <w:rPr>
                <w:rFonts w:hint="eastAsia" w:ascii="微软雅黑" w:hAnsi="微软雅黑" w:eastAsia="微软雅黑" w:cs="微软雅黑"/>
                <w:b/>
                <w:sz w:val="21"/>
                <w:szCs w:val="21"/>
              </w:rPr>
              <w:t xml:space="preserve">品种</w:t>
            </w:r>
            <w:r/>
          </w:p>
          <w:p>
            <w:pPr>
              <w:pStyle w:val="1165"/>
              <w:ind w:firstLine="0"/>
              <w:jc w:val="center"/>
              <w:spacing w:line="280" w:lineRule="exact"/>
              <w:rPr>
                <w:rFonts w:ascii="微软雅黑" w:hAnsi="微软雅黑" w:eastAsia="微软雅黑" w:cs="微软雅黑"/>
                <w:b/>
                <w:sz w:val="21"/>
                <w:szCs w:val="21"/>
              </w:rPr>
            </w:pPr>
            <w:r>
              <w:rPr>
                <w:rFonts w:hint="eastAsia" w:ascii="微软雅黑" w:hAnsi="微软雅黑" w:eastAsia="微软雅黑" w:cs="微软雅黑"/>
                <w:b/>
                <w:sz w:val="21"/>
                <w:szCs w:val="21"/>
              </w:rPr>
              <w:t xml:space="preserve">（包含以下但不限于，方便日后扩展采购）</w:t>
            </w:r>
            <w:r/>
          </w:p>
        </w:tc>
        <w:tc>
          <w:tcPr>
            <w:tcW w:w="2529" w:type="pct"/>
            <w:vAlign w:val="center"/>
            <w:textDirection w:val="lrTb"/>
            <w:noWrap w:val="false"/>
          </w:tcPr>
          <w:p>
            <w:pPr>
              <w:pStyle w:val="1165"/>
              <w:ind w:firstLine="0"/>
              <w:jc w:val="center"/>
              <w:spacing w:line="280" w:lineRule="exact"/>
              <w:rPr>
                <w:rFonts w:ascii="微软雅黑" w:hAnsi="微软雅黑" w:eastAsia="微软雅黑" w:cs="微软雅黑"/>
                <w:b/>
                <w:sz w:val="21"/>
                <w:szCs w:val="21"/>
              </w:rPr>
            </w:pPr>
            <w:r>
              <w:rPr>
                <w:rFonts w:hint="eastAsia" w:ascii="微软雅黑" w:hAnsi="微软雅黑" w:eastAsia="微软雅黑" w:cs="微软雅黑"/>
                <w:b/>
                <w:sz w:val="21"/>
                <w:szCs w:val="21"/>
              </w:rPr>
              <w:t xml:space="preserve">验收标准</w:t>
            </w:r>
            <w:r/>
          </w:p>
        </w:tc>
        <w:tc>
          <w:tcPr>
            <w:tcW w:w="827" w:type="pct"/>
            <w:vAlign w:val="center"/>
            <w:textDirection w:val="lrTb"/>
            <w:noWrap w:val="false"/>
          </w:tcPr>
          <w:p>
            <w:pPr>
              <w:pStyle w:val="1165"/>
              <w:ind w:firstLine="0"/>
              <w:jc w:val="center"/>
              <w:spacing w:line="280" w:lineRule="exact"/>
              <w:rPr>
                <w:rFonts w:ascii="微软雅黑" w:hAnsi="微软雅黑" w:eastAsia="微软雅黑" w:cs="微软雅黑"/>
                <w:b/>
                <w:sz w:val="21"/>
                <w:szCs w:val="21"/>
              </w:rPr>
            </w:pPr>
            <w:r>
              <w:rPr>
                <w:rFonts w:hint="eastAsia" w:ascii="微软雅黑" w:hAnsi="微软雅黑" w:eastAsia="微软雅黑" w:cs="微软雅黑"/>
                <w:b/>
                <w:sz w:val="21"/>
                <w:szCs w:val="21"/>
              </w:rPr>
              <w:t xml:space="preserve">供货周期</w:t>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猪肉类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前腿肉、五花肉、后腿肉、大排、小排、肋排、精肉、猪爪等食品。</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（1）鲜猪肉质量验收标准：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（2）鲜猪肉内脏验收标准：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①色泽：具有其固有的正常颜色，肌肉红色均匀，有光泽、脂肪洁白；</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②外表：无泥污、无血污、放血状况良好，肉边整齐、无破碎肉、无粘液渗出或很干的表皮，无点状、事状等小颗粒灰白色寄生虫；</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③全味：具有其固有的正常气味（猪肉微腥、牛肉微膻、羊肉重膻）、无臭味、腊味等异味；</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④弹性：指压后凹陷、能恢复原状。</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（3）鲜猪内脏、头蹄等验收标准：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①心、肝、腰子类：品质新鲜、外形完整、无异味、无病变、无凝血块、无血污、泥污、颜色正常；</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②肚：品质新鲜、外形完整、无溃疡面及其他病变现象、无内容物、无粘膜、无边油；</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③大肠、肥肠类：品质新鲜、无破损、无病变组织、无肠头细毛、无内容物、去净粘膜；</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④舌：品质新鲜、外形完整、无病变、无异物、无舌苔、附肉少、无血污、泥污；</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⑤耳：品质新鲜、外形完整、无溃烂、病斑、无破损；</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⑥蹄爪类：品质新鲜、去蹄壳、不带蹄筋、刮除粗毛、细毛及趾间黑垢、无松香残留；</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⑦蹄筋类：品质新鲜、无色透明、表面光亮、无油脂、无精肉、无充血现象、顺直、干燥。</w:t>
            </w:r>
            <w:r/>
          </w:p>
          <w:p>
            <w:pPr>
              <w:spacing w:line="280" w:lineRule="exact"/>
              <w:rPr>
                <w:rFonts w:ascii="微软雅黑" w:hAnsi="微软雅黑" w:cs="微软雅黑"/>
                <w:szCs w:val="21"/>
              </w:rPr>
            </w:pPr>
            <w:r>
              <w:rPr>
                <w:rFonts w:hint="eastAsia" w:ascii="微软雅黑" w:hAnsi="微软雅黑" w:cs="微软雅黑"/>
                <w:szCs w:val="21"/>
              </w:rPr>
              <w:t xml:space="preserve">（5）冻片猪肉质量验收标准：</w:t>
            </w:r>
            <w:r/>
          </w:p>
          <w:p>
            <w:pPr>
              <w:spacing w:line="280" w:lineRule="exact"/>
              <w:rPr>
                <w:rFonts w:ascii="微软雅黑" w:hAnsi="微软雅黑" w:cs="微软雅黑"/>
                <w:szCs w:val="21"/>
              </w:rPr>
            </w:pPr>
            <w:r>
              <w:rPr>
                <w:rFonts w:hint="eastAsia" w:ascii="微软雅黑" w:hAnsi="微软雅黑" w:cs="微软雅黑"/>
                <w:szCs w:val="21"/>
              </w:rPr>
              <w:t xml:space="preserve">外表颜色比冷却肉鲜明，在表面切开处为浅玫瑰色至灰色，用手或热刀触之，立显示鲜红色。肉坚硬，像冰一样，敲击有响声。化冻时，有肉的正常味，略潮，没有熟肉味。无杂质，无肌肉风干现象，无白、黄、绿斑、紫斑、污血、过多冰衣无白霜，按标准部位分割外包装无破损，有生产日期。包装完整、批号清晰，按招标要求规格供货。</w:t>
            </w:r>
            <w:r/>
          </w:p>
        </w:tc>
        <w:tc>
          <w:tcPr>
            <w:tcW w:w="827" w:type="pct"/>
            <w:vAlign w:val="center"/>
            <w:vMerge w:val="restart"/>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按天供应</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（根据采购人前一天出具的货品清单，供应商次日清晨</w:t>
            </w:r>
            <w:r>
              <w:rPr>
                <w:rFonts w:hint="eastAsia" w:ascii="微软雅黑" w:hAnsi="微软雅黑" w:eastAsia="微软雅黑" w:cs="微软雅黑"/>
                <w:color w:val="000000"/>
                <w:sz w:val="21"/>
                <w:szCs w:val="21"/>
              </w:rPr>
              <w:t xml:space="preserve">6:30</w:t>
            </w:r>
            <w:r>
              <w:rPr>
                <w:rFonts w:hint="eastAsia" w:ascii="微软雅黑" w:hAnsi="微软雅黑" w:eastAsia="微软雅黑" w:cs="微软雅黑"/>
                <w:sz w:val="21"/>
                <w:szCs w:val="21"/>
              </w:rPr>
              <w:t xml:space="preserve">-7</w:t>
            </w: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sz w:val="21"/>
                <w:szCs w:val="21"/>
              </w:rPr>
              <w:t xml:space="preserve">30之间送达）</w:t>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牛羊肉类</w:t>
            </w:r>
            <w:r/>
          </w:p>
        </w:tc>
        <w:tc>
          <w:tcPr>
            <w:tcW w:w="1027"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牛羊肉、牛腩等</w:t>
            </w:r>
            <w:r/>
          </w:p>
        </w:tc>
        <w:tc>
          <w:tcPr>
            <w:tcW w:w="2529" w:type="pct"/>
            <w:vAlign w:val="center"/>
            <w:textDirection w:val="lrTb"/>
            <w:noWrap w:val="false"/>
          </w:tcPr>
          <w:p>
            <w:pPr>
              <w:spacing w:line="280" w:lineRule="exact"/>
              <w:rPr>
                <w:rFonts w:ascii="微软雅黑" w:hAnsi="微软雅黑" w:cs="微软雅黑"/>
                <w:szCs w:val="21"/>
              </w:rPr>
            </w:pPr>
            <w:r>
              <w:rPr>
                <w:rFonts w:hint="eastAsia" w:ascii="微软雅黑" w:hAnsi="微软雅黑" w:cs="微软雅黑"/>
                <w:szCs w:val="21"/>
              </w:rPr>
              <w:t xml:space="preserve">（6）牛羊肉类验收标准：</w:t>
            </w:r>
            <w:r/>
          </w:p>
          <w:p>
            <w:pPr>
              <w:spacing w:line="280" w:lineRule="exact"/>
              <w:rPr>
                <w:rFonts w:ascii="微软雅黑" w:hAnsi="微软雅黑" w:cs="微软雅黑"/>
                <w:szCs w:val="21"/>
              </w:rPr>
            </w:pPr>
            <w:r>
              <w:rPr>
                <w:rFonts w:hint="eastAsia" w:ascii="微软雅黑" w:hAnsi="微软雅黑" w:cs="微软雅黑"/>
                <w:szCs w:val="21"/>
              </w:rPr>
              <w:t xml:space="preserve">①颜色：新鲜正常红色，淡红色，有光泽；</w:t>
            </w:r>
            <w:r/>
          </w:p>
          <w:p>
            <w:pPr>
              <w:spacing w:line="280" w:lineRule="exact"/>
              <w:rPr>
                <w:rFonts w:ascii="微软雅黑" w:hAnsi="微软雅黑" w:cs="微软雅黑"/>
                <w:szCs w:val="21"/>
              </w:rPr>
            </w:pPr>
            <w:r>
              <w:rPr>
                <w:rFonts w:hint="eastAsia" w:ascii="微软雅黑" w:hAnsi="微软雅黑" w:cs="微软雅黑"/>
                <w:szCs w:val="21"/>
              </w:rPr>
              <w:t xml:space="preserve">②气味：具有牛羊肉的正常气味，无异味；</w:t>
            </w:r>
            <w:r/>
          </w:p>
          <w:p>
            <w:pPr>
              <w:spacing w:line="280" w:lineRule="exact"/>
              <w:rPr>
                <w:rFonts w:ascii="微软雅黑" w:hAnsi="微软雅黑" w:cs="微软雅黑"/>
                <w:szCs w:val="21"/>
              </w:rPr>
            </w:pPr>
            <w:r>
              <w:rPr>
                <w:rFonts w:hint="eastAsia" w:ascii="微软雅黑" w:hAnsi="微软雅黑" w:cs="微软雅黑"/>
                <w:szCs w:val="21"/>
              </w:rPr>
              <w:t xml:space="preserve">③油层：无；</w:t>
            </w:r>
            <w:r/>
          </w:p>
          <w:p>
            <w:pPr>
              <w:spacing w:line="280" w:lineRule="exact"/>
              <w:rPr>
                <w:rFonts w:ascii="微软雅黑" w:hAnsi="微软雅黑" w:cs="微软雅黑"/>
                <w:szCs w:val="21"/>
              </w:rPr>
            </w:pPr>
            <w:r>
              <w:rPr>
                <w:rFonts w:hint="eastAsia" w:ascii="微软雅黑" w:hAnsi="微软雅黑" w:cs="微软雅黑"/>
                <w:szCs w:val="21"/>
              </w:rPr>
              <w:t xml:space="preserve">④淤血：无；</w:t>
            </w:r>
            <w:r/>
          </w:p>
          <w:p>
            <w:pPr>
              <w:spacing w:line="280" w:lineRule="exact"/>
              <w:rPr>
                <w:rFonts w:ascii="微软雅黑" w:hAnsi="微软雅黑" w:cs="微软雅黑"/>
                <w:szCs w:val="21"/>
              </w:rPr>
            </w:pPr>
            <w:r>
              <w:rPr>
                <w:rFonts w:hint="eastAsia" w:ascii="微软雅黑" w:hAnsi="微软雅黑" w:cs="微软雅黑"/>
                <w:szCs w:val="21"/>
              </w:rPr>
              <w:t xml:space="preserve">⑤表面湿润，不黏手，有弹性；</w:t>
            </w:r>
            <w:r/>
          </w:p>
          <w:p>
            <w:pPr>
              <w:spacing w:line="280" w:lineRule="exact"/>
              <w:rPr>
                <w:rFonts w:ascii="微软雅黑" w:hAnsi="微软雅黑" w:cs="微软雅黑"/>
                <w:szCs w:val="21"/>
              </w:rPr>
            </w:pPr>
            <w:r>
              <w:rPr>
                <w:rFonts w:hint="eastAsia" w:ascii="微软雅黑" w:hAnsi="微软雅黑" w:cs="微软雅黑"/>
                <w:szCs w:val="21"/>
              </w:rPr>
              <w:t xml:space="preserve">⑥水分，感观上不能有水，恒温库吊挂12小时。</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textDirection w:val="lrTb"/>
            <w:noWrap w:val="false"/>
          </w:tcPr>
          <w:p>
            <w:pPr>
              <w:jc w:val="center"/>
              <w:spacing w:line="280" w:lineRule="exact"/>
              <w:rPr>
                <w:rFonts w:ascii="微软雅黑" w:hAnsi="微软雅黑" w:cs="微软雅黑"/>
                <w:szCs w:val="21"/>
              </w:rPr>
            </w:pPr>
            <w:r>
              <w:rPr>
                <w:rFonts w:hint="eastAsia" w:ascii="微软雅黑" w:hAnsi="微软雅黑" w:cs="微软雅黑"/>
                <w:szCs w:val="21"/>
              </w:rPr>
              <w:t xml:space="preserve">半成品</w:t>
            </w:r>
            <w:r/>
          </w:p>
          <w:p>
            <w:pPr>
              <w:jc w:val="center"/>
              <w:spacing w:line="280" w:lineRule="exact"/>
              <w:rPr>
                <w:rFonts w:ascii="微软雅黑" w:hAnsi="微软雅黑" w:cs="微软雅黑"/>
                <w:szCs w:val="21"/>
              </w:rPr>
            </w:pPr>
            <w:r>
              <w:rPr>
                <w:rFonts w:hint="eastAsia" w:ascii="微软雅黑" w:hAnsi="微软雅黑" w:cs="微软雅黑"/>
                <w:szCs w:val="21"/>
              </w:rPr>
              <w:t xml:space="preserve">（冷冻、速冻等）</w:t>
            </w:r>
            <w:r/>
          </w:p>
        </w:tc>
        <w:tc>
          <w:tcPr>
            <w:tcW w:w="1027" w:type="pct"/>
            <w:vAlign w:val="center"/>
            <w:textDirection w:val="lrTb"/>
            <w:noWrap w:val="false"/>
          </w:tcPr>
          <w:p>
            <w:pPr>
              <w:spacing w:line="280" w:lineRule="exact"/>
              <w:rPr>
                <w:rFonts w:ascii="微软雅黑" w:hAnsi="微软雅黑" w:cs="微软雅黑"/>
                <w:szCs w:val="21"/>
              </w:rPr>
            </w:pPr>
            <w:r>
              <w:rPr>
                <w:rFonts w:hint="eastAsia" w:ascii="微软雅黑" w:hAnsi="微软雅黑" w:cs="微软雅黑"/>
                <w:szCs w:val="21"/>
              </w:rPr>
              <w:t xml:space="preserve">主要是包子、点心、鸡腿小腿、鸡翅根、鸭腿等冷冻制品类食材。</w:t>
            </w:r>
            <w:r/>
          </w:p>
        </w:tc>
        <w:tc>
          <w:tcPr>
            <w:tcW w:w="2529" w:type="pct"/>
            <w:vAlign w:val="center"/>
            <w:textDirection w:val="lrTb"/>
            <w:noWrap w:val="false"/>
          </w:tcPr>
          <w:p>
            <w:pPr>
              <w:spacing w:line="280" w:lineRule="exact"/>
              <w:rPr>
                <w:rFonts w:ascii="微软雅黑" w:hAnsi="微软雅黑" w:cs="微软雅黑"/>
                <w:szCs w:val="21"/>
              </w:rPr>
            </w:pPr>
            <w:r>
              <w:rPr>
                <w:rFonts w:hint="eastAsia" w:ascii="微软雅黑" w:hAnsi="微软雅黑" w:cs="微软雅黑"/>
                <w:szCs w:val="21"/>
              </w:rPr>
              <w:t xml:space="preserve">符合国家质量标准。按采购人要求规格供货。</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水产类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鱼、虾、小黄鱼（10条/斤）、无刺鮰鱼块等水产包括现场加工类食品。</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（1）海、江、河鲜活类验收标准：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（2）冰鲜类验收标准：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tc>
        <w:tc>
          <w:tcPr>
            <w:tcW w:w="8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按天供应</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（根据采购人前一天出具的货品清单，中标供应商次日清晨</w:t>
            </w:r>
            <w:r>
              <w:rPr>
                <w:rFonts w:hint="eastAsia" w:ascii="微软雅黑" w:hAnsi="微软雅黑" w:eastAsia="微软雅黑" w:cs="微软雅黑"/>
                <w:color w:val="000000"/>
                <w:sz w:val="21"/>
                <w:szCs w:val="21"/>
              </w:rPr>
              <w:t xml:space="preserve">6:30</w:t>
            </w:r>
            <w:r>
              <w:rPr>
                <w:rFonts w:hint="eastAsia" w:ascii="微软雅黑" w:hAnsi="微软雅黑" w:eastAsia="微软雅黑" w:cs="微软雅黑"/>
                <w:sz w:val="21"/>
                <w:szCs w:val="21"/>
              </w:rPr>
              <w:t xml:space="preserve">-7：30之间送达）</w:t>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饮料、奶制品类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酸奶、牛奶、制作西点所需原材料。</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饮料、奶制品验收标准：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（1）在质保期内，无脂肪凝结现象，牛奶呈现乳白色均匀无层，包装完好无损。</w:t>
            </w:r>
            <w:r/>
          </w:p>
          <w:p>
            <w:pPr>
              <w:pStyle w:val="1166"/>
              <w:rPr>
                <w:rFonts w:ascii="微软雅黑" w:hAnsi="微软雅黑" w:cs="微软雅黑"/>
                <w:szCs w:val="21"/>
              </w:rPr>
            </w:pPr>
            <w:r>
              <w:rPr>
                <w:rFonts w:hint="eastAsia" w:ascii="微软雅黑" w:hAnsi="微软雅黑" w:cs="微软雅黑"/>
                <w:szCs w:val="21"/>
              </w:rPr>
              <w:t xml:space="preserve">（2）剩余保存期不少于原有保质期的三分之二</w:t>
            </w:r>
            <w:r/>
          </w:p>
        </w:tc>
        <w:tc>
          <w:tcPr>
            <w:tcW w:w="827" w:type="pct"/>
            <w:vAlign w:val="center"/>
            <w:vMerge w:val="restart"/>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按需供应</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（中标供应商须根据与采购人协商的数量、地点进行供货）</w:t>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粮油类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胚芽油、大豆油、玉米油、葵籽油、大米、杂粮等。</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粮油类验收标准：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（1）大豆油符合GB/T 1535-2017标准，要求澄清透明；气味、口感较好；溶剂残留不得检出；酸值小于1；过氧化值小于6；密封良好，无渗漏；</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（2）玉米油符合符GB/T 19111-2017标准，要求澄清透明；气味、口感较好；溶剂残留不得检出；酸值小于0.2%；过氧化值小于5；商标整齐，喷码正确，文字清晰。密封良好，无渗漏；</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（3）葵花籽油符合GB/T 10464-2017标准，要求澄清透明；气味、口感较好；商标整齐，喷码正确，文字清晰。密封良好，无渗漏；</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（4）菜籽油符合GB/T 1536-2021标准，要求澄清透明；气味、口感较好；溶剂残留不得检出；酸值小于1；过氧化值小于6；密封良好，无渗漏；</w:t>
            </w:r>
            <w:r/>
          </w:p>
          <w:p>
            <w:pPr>
              <w:pStyle w:val="1166"/>
              <w:spacing w:line="280" w:lineRule="exact"/>
              <w:rPr>
                <w:rFonts w:ascii="微软雅黑" w:hAnsi="微软雅黑" w:cs="微软雅黑"/>
                <w:szCs w:val="21"/>
              </w:rPr>
            </w:pPr>
            <w:r>
              <w:rPr>
                <w:rFonts w:hint="eastAsia" w:ascii="微软雅黑" w:hAnsi="微软雅黑" w:cs="微软雅黑"/>
                <w:szCs w:val="21"/>
              </w:rPr>
              <w:t xml:space="preserve">（5）大米符合GB/T 1354-2018标准，要求颗粒饱满完整、大小均匀，无虫害及霉变，无杂质；无陈米、酸败及其他异味，气味、口感好；</w:t>
            </w:r>
            <w:r/>
          </w:p>
          <w:p>
            <w:pPr>
              <w:pStyle w:val="1166"/>
              <w:spacing w:line="280" w:lineRule="exact"/>
              <w:rPr>
                <w:rFonts w:ascii="微软雅黑" w:hAnsi="微软雅黑" w:cs="微软雅黑"/>
                <w:szCs w:val="21"/>
              </w:rPr>
            </w:pPr>
            <w:r>
              <w:rPr>
                <w:rFonts w:hint="eastAsia" w:ascii="微软雅黑" w:hAnsi="微软雅黑" w:cs="微软雅黑"/>
                <w:szCs w:val="21"/>
              </w:rPr>
              <w:t xml:space="preserve">（6）杂粮类应符合国家相应标准，要求具有各种杂粮固有的色泽，颗粒饱满完整，无虫害及霉变，无可见外来杂质；无酸败及其他异味，气味、口感好。</w:t>
            </w:r>
            <w:r/>
          </w:p>
          <w:p>
            <w:pPr>
              <w:pStyle w:val="1166"/>
              <w:spacing w:line="280" w:lineRule="exact"/>
              <w:rPr>
                <w:rFonts w:ascii="微软雅黑" w:hAnsi="微软雅黑" w:cs="微软雅黑"/>
                <w:szCs w:val="21"/>
              </w:rPr>
            </w:pPr>
            <w:r>
              <w:rPr>
                <w:rFonts w:hint="eastAsia" w:ascii="微软雅黑" w:hAnsi="微软雅黑" w:cs="微软雅黑"/>
                <w:szCs w:val="21"/>
              </w:rPr>
              <w:t xml:space="preserve">（7）剩余保存期不少于原有保质期的三分之二</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1148" w:type="dxa"/>
            <w:vAlign w:val="center"/>
            <w:vMerge w:val="restart"/>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干调类、洗涤用品类及厨房低值易耗品类</w:t>
            </w:r>
            <w:r/>
          </w:p>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（1）干货类：去除了水分的木耳、紫菜、香菇、红枣、桂皮、辣椒、花椒、大茴香、小茴香、胡椒、枸杞等。</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（1）干货类验收标准：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tc>
        <w:tc>
          <w:tcPr>
            <w:tcW w:w="827" w:type="pct"/>
            <w:vAlign w:val="center"/>
            <w:vMerge w:val="restart"/>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按需供应</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（中标供应商须根据与采购人协商的数量、地点进行供货）</w:t>
            </w:r>
            <w:r/>
          </w:p>
        </w:tc>
      </w:tr>
      <w:tr>
        <w:trPr>
          <w:jc w:val="center"/>
        </w:trPr>
        <w:tc>
          <w:tcPr>
            <w:tcW w:w="615" w:type="pct"/>
            <w:vAlign w:val="center"/>
            <w:vMerge w:val="continue"/>
            <w:textDirection w:val="lrTb"/>
            <w:noWrap w:val="false"/>
          </w:tcPr>
          <w:p>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（2）调味品：鸡精、盐、糖、八角、桂皮、酱油、辣椒等。</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（2）调味品类验收标准：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①食盐：味咸，呈现白色晶体，无杂质，无苦味及其他异味，外包装无漏无污，印刷清淅，有防伪标识；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②食糖：色泽洁白光亮，颗粒均匀整齐，无粘结块现象，无异味无杂质，包装完好；</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③食醋：正常色泽，琥珀色气味，不得有酸、苦、涩等异味和霉味，不浑浊，不沉淀，无霉花浮膜，外包装无漏无污，印刷清淅，无胀袋现象；</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④酱油：正常色泽，红褐色气味的滋味，无不良气味，不得有酸、苦、涩等异味和霉味，不浑浊，不沉淀，无霉花浮膜，外包装无漏无污，印刷清淅，无胀袋现象；</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⑤味精：无色或白色结晶，无杂质污物，允许有少量碎晶及少量粉末状物质；</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⑥生粉及炸粉：色洁白，颗粒均匀，手感滑爽，干燥无杂质，气味正常；</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⑦粉状香辛料：颗粒均匀无杂质，干燥无结块，具有固有的颜色和气味。</w:t>
            </w:r>
            <w:r/>
          </w:p>
          <w:p>
            <w:pPr>
              <w:pStyle w:val="1166"/>
              <w:rPr>
                <w:rFonts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color w:val="000000"/>
                <w:szCs w:val="21"/>
              </w:rPr>
              <w:t xml:space="preserve">剩余保存期不少于原有保质期的三分之二。</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vMerge w:val="continue"/>
            <w:textDirection w:val="lrTb"/>
            <w:noWrap w:val="false"/>
          </w:tcPr>
          <w:p>
            <w:pPr>
              <w:jc w:val="center"/>
              <w:spacing w:line="280" w:lineRule="exact"/>
              <w:widowControl/>
              <w:rPr>
                <w:rFonts w:ascii="微软雅黑" w:hAnsi="微软雅黑" w:cs="微软雅黑"/>
                <w:szCs w:val="21"/>
              </w:rPr>
            </w:pPr>
            <w:r>
              <w:rPr>
                <w:rFonts w:ascii="微软雅黑" w:hAnsi="微软雅黑" w:cs="微软雅黑"/>
                <w:szCs w:val="21"/>
              </w:rPr>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（3）厨房低值易耗品：抹布、围裙、洗洁精等。</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（3）厨房低值易耗品验收标准：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厨房卫生各类洗涤常用低值易耗品应选择超市有销售量的中端等同档次或以上产品。</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蔬菜类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青菜、萝卜、包菜、青芹、西红柿、黄瓜、土豆、大白菜、茄子、薄皮青椒等蔬菜类食品。</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蔬菜类验收标准：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新鲜卫生的绿色蔬菜，新鲜菜光滑、清脆鲜嫩，无变质腐烂、无黄叶、不带泥沙、无杂草、检测无农药残留。</w:t>
            </w:r>
            <w:r/>
          </w:p>
        </w:tc>
        <w:tc>
          <w:tcPr>
            <w:tcW w:w="827" w:type="pct"/>
            <w:vAlign w:val="center"/>
            <w:vMerge w:val="restart"/>
            <w:textDirection w:val="lrTb"/>
            <w:noWrap w:val="false"/>
          </w:tcPr>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65"/>
              <w:ind w:firstLine="0"/>
              <w:jc w:val="center"/>
              <w:spacing w:line="28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按天供应</w:t>
            </w:r>
            <w:r/>
          </w:p>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（根据采购人前一天出具的货品清单，中标供应商次日清晨</w:t>
            </w:r>
            <w:r>
              <w:rPr>
                <w:rFonts w:hint="eastAsia" w:ascii="微软雅黑" w:hAnsi="微软雅黑" w:eastAsia="微软雅黑" w:cs="微软雅黑"/>
                <w:color w:val="000000"/>
                <w:sz w:val="21"/>
                <w:szCs w:val="21"/>
              </w:rPr>
              <w:t xml:space="preserve">6:30</w:t>
            </w:r>
            <w:r>
              <w:rPr>
                <w:rFonts w:hint="eastAsia" w:ascii="微软雅黑" w:hAnsi="微软雅黑" w:eastAsia="微软雅黑" w:cs="微软雅黑"/>
                <w:sz w:val="21"/>
                <w:szCs w:val="21"/>
              </w:rPr>
              <w:t xml:space="preserve">-7：30）</w:t>
            </w:r>
            <w:r/>
          </w:p>
        </w:tc>
      </w:tr>
      <w:tr>
        <w:trPr>
          <w:jc w:val="center"/>
          <w:trHeight w:val="360"/>
        </w:trPr>
        <w:tc>
          <w:tcPr>
            <w:tcW w:w="615" w:type="pct"/>
            <w:vAlign w:val="center"/>
            <w:vMerge w:val="restart"/>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禽蛋类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禽类：鸡、鸭、鹅等活禽。</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禽类验收标准：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表面光滑而有光泽，肉质弹性好且丰满，表皮无毛或少毛，无破皮，无明显淤块，无污水，胸内无一切内脏，无血水，无异味。商标规格，产品说明清晰完整。</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vMerge w:val="continue"/>
            <w:textDirection w:val="lrTb"/>
            <w:noWrap w:val="false"/>
          </w:tcPr>
          <w:p>
            <w:pPr>
              <w:jc w:val="center"/>
              <w:spacing w:line="280" w:lineRule="exact"/>
              <w:widowControl/>
              <w:rPr>
                <w:rFonts w:ascii="微软雅黑" w:hAnsi="微软雅黑" w:cs="微软雅黑"/>
                <w:szCs w:val="21"/>
              </w:rPr>
            </w:pPr>
            <w:r>
              <w:rPr>
                <w:rFonts w:ascii="微软雅黑" w:hAnsi="微软雅黑" w:cs="微软雅黑"/>
                <w:szCs w:val="21"/>
              </w:rPr>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蛋类：鸡蛋、鸭蛋、鹅蛋和鹌鹑蛋等。</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蛋类验收标准：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蛋壳清洁完整，灯光透视时整个蛋呈微红色，蛋黄不见或略有阴影，打开后蛋黄凸起完整并带有韧性，蛋白澄清透明，稀稠分明。</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水果类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苹果、香蕉、梨子、桔子、圣女果、西瓜等水果类食材。</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水果类验收标准：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（1）新鲜度：充足无空壳，皱皮、干涩现象；</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（2）色泽：新艳光亮，无变色；</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（3）硬度：饱满充实，软硬适中；</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（4）机械伤：相同新鲜条件下无外伤造成伤害，如挤伤、压伤、碰伤、裂伤；</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（5）形状：外形优美，果实硕大，无不良图案及异状；</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（6）成熟度：适中，无过孰、未熟现象；</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（7）污染：无污染残留农药；</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（8）包装：如有包装需完整干净。</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豆制品类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豆腐、豆皮、豆浆、腐竹等。</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豆制品类验收标准：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保证当天生产货品新鲜、干净无灰尘，异味，外形完整，美观，无破损，鲜豆饱满，结实，颜色正常。</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r>
        <w:trPr>
          <w:jc w:val="center"/>
        </w:trPr>
        <w:tc>
          <w:tcPr>
            <w:tcW w:w="615" w:type="pct"/>
            <w:vAlign w:val="center"/>
            <w:textDirection w:val="lrTb"/>
            <w:noWrap w:val="false"/>
          </w:tcPr>
          <w:p>
            <w:pPr>
              <w:pStyle w:val="1165"/>
              <w:ind w:firstLine="0"/>
              <w:jc w:val="center"/>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面制品类</w:t>
            </w:r>
            <w:r/>
          </w:p>
        </w:tc>
        <w:tc>
          <w:tcPr>
            <w:tcW w:w="1027"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面条、饺皮、高筋面粉、低筋面粉等面类食材。</w:t>
            </w:r>
            <w:r/>
          </w:p>
        </w:tc>
        <w:tc>
          <w:tcPr>
            <w:tcW w:w="2529" w:type="pct"/>
            <w:vAlign w:val="center"/>
            <w:textDirection w:val="lrTb"/>
            <w:noWrap w:val="false"/>
          </w:tcPr>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面类验收标准：</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（1）色泽：呈白色或微黄色，不发暗，色泽均匀，无杂质混入的颜色；</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（2）形态：呈细粉末状，不含杂质，手指捏时无粗粒感，无虫子和结块，置手中紧握后放开不成团；</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（3）气味：具有正常的面粉气味，无其他异味；</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（4）湿度：用手握面粉，松手后松散，不成团；</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（5）口感：味道正常，无发酸、刺喉，咀嚼时没有牙碜感；</w:t>
            </w:r>
            <w:r/>
          </w:p>
          <w:p>
            <w:pPr>
              <w:pStyle w:val="1165"/>
              <w:ind w:firstLine="0"/>
              <w:spacing w:line="28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（6）包装：封口严密，防潮材质；外包装描述清楚，且一定要有“QS”标识，无破损。</w:t>
            </w:r>
            <w:r/>
          </w:p>
        </w:tc>
        <w:tc>
          <w:tcPr>
            <w:tcW w:w="827" w:type="pct"/>
            <w:vAlign w:val="center"/>
            <w:vMerge w:val="continue"/>
            <w:textDirection w:val="lrTb"/>
            <w:noWrap w:val="false"/>
          </w:tcPr>
          <w:p>
            <w:pPr>
              <w:jc w:val="left"/>
              <w:spacing w:line="280" w:lineRule="exact"/>
              <w:widowControl/>
              <w:rPr>
                <w:rFonts w:ascii="微软雅黑" w:hAnsi="微软雅黑" w:cs="微软雅黑"/>
                <w:szCs w:val="21"/>
              </w:rPr>
            </w:pPr>
            <w:r>
              <w:rPr>
                <w:rFonts w:ascii="微软雅黑" w:hAnsi="微软雅黑" w:cs="微软雅黑"/>
                <w:szCs w:val="21"/>
              </w:rPr>
            </w:r>
            <w:r/>
          </w:p>
        </w:tc>
      </w:tr>
    </w:tbl>
    <w:p>
      <w:pPr>
        <w:pStyle w:val="1147"/>
        <w:spacing w:before="120" w:after="0"/>
        <w:rPr>
          <w:rFonts w:ascii="微软雅黑" w:hAnsi="微软雅黑" w:eastAsia="微软雅黑" w:cs="微软雅黑"/>
          <w:b/>
          <w:bCs/>
          <w:sz w:val="21"/>
          <w:szCs w:val="21"/>
        </w:rPr>
      </w:pPr>
      <w:r/>
      <w:bookmarkStart w:id="412" w:name="_Toc46"/>
      <w:r>
        <w:rPr>
          <w:rFonts w:hint="eastAsia" w:ascii="微软雅黑" w:hAnsi="微软雅黑" w:eastAsia="微软雅黑" w:cs="微软雅黑"/>
          <w:b/>
          <w:bCs/>
          <w:sz w:val="22"/>
          <w:szCs w:val="22"/>
        </w:rPr>
        <w:t xml:space="preserve">★</w:t>
      </w:r>
      <w:r>
        <w:rPr>
          <w:rFonts w:hint="eastAsia" w:ascii="微软雅黑" w:hAnsi="微软雅黑" w:eastAsia="微软雅黑" w:cs="微软雅黑"/>
          <w:b/>
          <w:bCs/>
          <w:sz w:val="21"/>
          <w:szCs w:val="21"/>
        </w:rPr>
        <w:t xml:space="preserve">四、履约及违约</w:t>
      </w:r>
      <w:bookmarkEnd w:id="412"/>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1、因供应商未按约定时间，配送不及时导致供应延误的，且未</w:t>
      </w:r>
      <w:bookmarkStart w:id="234" w:name="OLE_LINK14"/>
      <w:r>
        <w:rPr>
          <w:rFonts w:hint="eastAsia" w:ascii="微软雅黑" w:hAnsi="微软雅黑" w:cs="微软雅黑"/>
          <w:szCs w:val="21"/>
        </w:rPr>
        <w:t xml:space="preserve">采取补救措施</w:t>
      </w:r>
      <w:bookmarkEnd w:id="234"/>
      <w:r>
        <w:rPr>
          <w:rFonts w:hint="eastAsia" w:ascii="微软雅黑" w:hAnsi="微软雅黑" w:cs="微软雅黑"/>
          <w:szCs w:val="21"/>
        </w:rPr>
        <w:t xml:space="preserve">，造成采购人开餐延误等不良影响的，第一次扣除当天供货费用的20%，第二次扣除当天供货费用的40%，第三次扣除当天供货费用的 80%并解除合同。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3、凡供应商向采购人提供的产品发生质量问题，影响食用，经第三方机构检测确定，第一次扣除当天供货费用的20%，第二次扣除当天供货费用的40%，第三次扣除当天供货费用的 80%并解除合同。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4、不得提供临期产品，如发现此种情况，供货商首先应立即配合采购方的要求更换产品，同时第一次扣除当天供货费用的20%，第二次扣除当天供货费用的40%，第三次扣除当天供货费用的80%并解除合同。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5、采购人将定期或不定期地组织专人对供应商所供货物的质量报送质检部门抽检，若发现货物质量检测结果与采购文件或投标文件质量标准不符，采购人有权按总货款的一定比例予以扣款，情节严重的予以解除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6、凡供应货物故意违规、定量包装批量误差超过相关规定，一经查实，均须按当月总采购量的3倍误差值作为支付的违约金。</w:t>
      </w:r>
      <w:r/>
    </w:p>
    <w:p>
      <w:pPr>
        <w:pStyle w:val="1147"/>
        <w:spacing w:before="120" w:after="0"/>
        <w:rPr>
          <w:rFonts w:ascii="微软雅黑" w:hAnsi="微软雅黑" w:eastAsia="微软雅黑" w:cs="微软雅黑"/>
          <w:b/>
          <w:bCs/>
          <w:sz w:val="21"/>
          <w:szCs w:val="21"/>
        </w:rPr>
      </w:pPr>
      <w:r/>
      <w:bookmarkStart w:id="413" w:name="_Toc47"/>
      <w:r>
        <w:rPr>
          <w:rFonts w:hint="eastAsia" w:ascii="微软雅黑" w:hAnsi="微软雅黑" w:eastAsia="微软雅黑" w:cs="微软雅黑"/>
          <w:b/>
          <w:bCs/>
          <w:sz w:val="21"/>
          <w:szCs w:val="21"/>
        </w:rPr>
        <w:t xml:space="preserve">五、报价方式</w:t>
      </w:r>
      <w:bookmarkEnd w:id="413"/>
      <w:r/>
      <w:r/>
    </w:p>
    <w:p>
      <w:pPr>
        <w:ind w:firstLine="420"/>
        <w:jc w:val="left"/>
        <w:spacing w:line="440" w:lineRule="exact"/>
        <w:widowControl/>
        <w:rPr>
          <w:rFonts w:ascii="微软雅黑" w:hAnsi="微软雅黑" w:cs="微软雅黑"/>
          <w:color w:val="auto"/>
          <w:szCs w:val="21"/>
          <w:highlight w:val="none"/>
        </w:rPr>
      </w:pPr>
      <w:r>
        <w:rPr>
          <w:rFonts w:hint="eastAsia" w:ascii="微软雅黑" w:hAnsi="微软雅黑" w:cs="微软雅黑"/>
          <w:szCs w:val="21"/>
        </w:rPr>
        <w:t xml:space="preserve">1、</w:t>
      </w:r>
      <w:bookmarkStart w:id="236" w:name="OLE_LINK1"/>
      <w:r>
        <w:rPr>
          <w:rFonts w:hint="eastAsia" w:ascii="微软雅黑" w:hAnsi="微软雅黑" w:cs="微软雅黑"/>
          <w:szCs w:val="21"/>
        </w:rPr>
        <w:t xml:space="preserve">投标</w:t>
      </w:r>
      <w:r>
        <w:rPr>
          <w:rFonts w:hint="eastAsia" w:ascii="微软雅黑" w:hAnsi="微软雅黑" w:cs="微软雅黑"/>
          <w:szCs w:val="21"/>
          <w:lang w:eastAsia="zh-CN"/>
        </w:rPr>
        <w:t xml:space="preserve">优惠率（</w:t>
      </w:r>
      <w:r>
        <w:rPr>
          <w:rFonts w:hint="eastAsia" w:ascii="微软雅黑" w:hAnsi="微软雅黑" w:cs="微软雅黑"/>
          <w:szCs w:val="21"/>
        </w:rPr>
        <w:t xml:space="preserve">下浮率</w:t>
      </w:r>
      <w:r>
        <w:rPr>
          <w:rFonts w:hint="eastAsia" w:ascii="微软雅黑" w:hAnsi="微软雅黑" w:cs="微软雅黑"/>
          <w:szCs w:val="21"/>
          <w:lang w:eastAsia="zh-CN"/>
        </w:rPr>
        <w:t xml:space="preserve">）</w:t>
      </w:r>
      <w:bookmarkEnd w:id="236"/>
      <w:r>
        <w:rPr>
          <w:rFonts w:hint="eastAsia" w:ascii="微软雅黑" w:hAnsi="微软雅黑" w:cs="微软雅黑"/>
          <w:szCs w:val="21"/>
        </w:rPr>
        <w:t xml:space="preserve">是指以当月第二周同品种南京市发展和改革委员会官网（http:// fgw.nanjing.gov.cn）价格信息栏发布的“南京市部分农贸市场主副食品周平均价格水平”（如遇南京市发展和改革委员会官网中未列出品种，以六合区同期（当月第二周）同类农贸市场零售价</w:t>
      </w:r>
      <w:r>
        <w:rPr>
          <w:rFonts w:hint="eastAsia" w:ascii="微软雅黑" w:hAnsi="微软雅黑" w:cs="微软雅黑"/>
          <w:color w:val="auto"/>
          <w:szCs w:val="21"/>
          <w:highlight w:val="none"/>
        </w:rPr>
        <w:t xml:space="preserve">或附近其他大型商超零售价为参考）为基础</w:t>
      </w:r>
      <w:r>
        <w:rPr>
          <w:rFonts w:hint="eastAsia" w:ascii="微软雅黑" w:hAnsi="微软雅黑" w:cs="微软雅黑"/>
          <w:color w:val="auto"/>
          <w:szCs w:val="21"/>
          <w:highlight w:val="none"/>
          <w:lang w:eastAsia="zh-CN"/>
        </w:rPr>
        <w:t xml:space="preserve">上进行下浮的比例</w:t>
      </w:r>
      <w:r>
        <w:rPr>
          <w:rFonts w:hint="eastAsia" w:ascii="微软雅黑" w:hAnsi="微软雅黑" w:cs="微软雅黑"/>
          <w:color w:val="auto"/>
          <w:szCs w:val="21"/>
          <w:highlight w:val="none"/>
        </w:rPr>
        <w:t xml:space="preserve">。举例：100元商品以90元出售</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则投标优惠率</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下浮率</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为</w:t>
      </w:r>
      <w:r>
        <w:rPr>
          <w:rFonts w:hint="eastAsia" w:ascii="微软雅黑" w:hAnsi="微软雅黑" w:cs="微软雅黑"/>
          <w:color w:val="auto"/>
          <w:szCs w:val="21"/>
          <w:highlight w:val="none"/>
          <w:lang w:val="en-US" w:eastAsia="zh-CN"/>
        </w:rPr>
        <w:t xml:space="preserve">10</w:t>
      </w:r>
      <w:r>
        <w:rPr>
          <w:rFonts w:hint="eastAsia" w:ascii="微软雅黑" w:hAnsi="微软雅黑" w:cs="微软雅黑"/>
          <w:color w:val="auto"/>
          <w:szCs w:val="21"/>
          <w:highlight w:val="none"/>
        </w:rPr>
        <w:t xml:space="preserve">%。</w:t>
      </w:r>
      <w:r/>
    </w:p>
    <w:p>
      <w:pPr>
        <w:ind w:firstLine="420"/>
        <w:jc w:val="left"/>
        <w:spacing w:line="440" w:lineRule="exact"/>
        <w:widowControl/>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2、各供应商在报价时应充分考虑到市场波动等客观因素。</w:t>
      </w:r>
      <w:r/>
    </w:p>
    <w:p>
      <w:pPr>
        <w:ind w:firstLine="420"/>
        <w:jc w:val="left"/>
        <w:spacing w:line="440" w:lineRule="exact"/>
        <w:widowControl/>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3、报价应包括商品价、运输费（含装卸费）、人工费、保险费、税费、货物送到采购人指定地点等的所有费用。</w:t>
      </w:r>
      <w:r/>
    </w:p>
    <w:p>
      <w:pPr>
        <w:pStyle w:val="1147"/>
        <w:spacing w:before="120" w:after="0"/>
        <w:rPr>
          <w:rFonts w:ascii="微软雅黑" w:hAnsi="微软雅黑" w:eastAsia="微软雅黑" w:cs="微软雅黑"/>
          <w:b/>
          <w:bCs/>
          <w:color w:val="auto"/>
          <w:sz w:val="21"/>
          <w:szCs w:val="21"/>
          <w:highlight w:val="none"/>
        </w:rPr>
      </w:pPr>
      <w:r/>
      <w:bookmarkStart w:id="414" w:name="_Toc48"/>
      <w:r>
        <w:rPr>
          <w:rFonts w:hint="eastAsia" w:ascii="微软雅黑" w:hAnsi="微软雅黑" w:eastAsia="微软雅黑" w:cs="微软雅黑"/>
          <w:b/>
          <w:bCs/>
          <w:color w:val="auto"/>
          <w:sz w:val="21"/>
          <w:szCs w:val="21"/>
          <w:highlight w:val="none"/>
        </w:rPr>
        <w:t xml:space="preserve">六、供货商月考核办法</w:t>
      </w:r>
      <w:bookmarkEnd w:id="414"/>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结合每月考核得出总分，如总分90级以上不处罚，90分（不含）-80分（含）每下降1分扣200元；80分（不含）-70分（含）每下降1分扣300元；70分（不含）-60分（含）每下降1分扣400元；60分（不含）以下不合格，采购人有权解除合同。</w:t>
      </w:r>
      <w:r/>
    </w:p>
    <w:p>
      <w:pPr>
        <w:ind w:firstLine="420"/>
        <w:jc w:val="left"/>
        <w:spacing w:line="440" w:lineRule="exact"/>
        <w:widowControl/>
        <w:rPr>
          <w:rFonts w:ascii="微软雅黑" w:hAnsi="微软雅黑" w:cs="微软雅黑"/>
          <w:szCs w:val="21"/>
        </w:rPr>
      </w:pPr>
      <w:r>
        <w:rPr>
          <w:rFonts w:hint="eastAsia" w:ascii="微软雅黑" w:hAnsi="微软雅黑" w:cs="微软雅黑"/>
          <w:szCs w:val="21"/>
        </w:rPr>
        <w:t xml:space="preserve">表1：供货商月考核表：</w:t>
      </w:r>
      <w:r/>
    </w:p>
    <w:tbl>
      <w:tblPr>
        <w:tblStyle w:val="1156"/>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04"/>
        <w:gridCol w:w="1249"/>
        <w:gridCol w:w="777"/>
        <w:gridCol w:w="4814"/>
        <w:gridCol w:w="790"/>
      </w:tblGrid>
      <w:tr>
        <w:trPr>
          <w:jc w:val="center"/>
          <w:trHeight w:val="520"/>
        </w:trPr>
        <w:tc>
          <w:tcPr>
            <w:tcW w:w="106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一级</w:t>
            </w:r>
            <w:r/>
          </w:p>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指标</w:t>
            </w:r>
            <w:r/>
          </w:p>
        </w:tc>
        <w:tc>
          <w:tcPr>
            <w:tcW w:w="80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分值</w:t>
            </w:r>
            <w:r/>
          </w:p>
        </w:tc>
        <w:tc>
          <w:tcPr>
            <w:tcW w:w="1249"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二级</w:t>
            </w:r>
            <w:r/>
          </w:p>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指标</w:t>
            </w:r>
            <w:r/>
          </w:p>
        </w:tc>
        <w:tc>
          <w:tcPr>
            <w:tcW w:w="777"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分值</w:t>
            </w:r>
            <w:r/>
          </w:p>
        </w:tc>
        <w:tc>
          <w:tcPr>
            <w:tcW w:w="481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考核内容及标准</w:t>
            </w:r>
            <w:r/>
          </w:p>
        </w:tc>
        <w:tc>
          <w:tcPr>
            <w:tcW w:w="790"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扣分</w:t>
            </w:r>
            <w:r/>
          </w:p>
        </w:tc>
      </w:tr>
      <w:tr>
        <w:trPr>
          <w:jc w:val="center"/>
          <w:trHeight w:val="1003"/>
        </w:trPr>
        <w:tc>
          <w:tcPr>
            <w:tcW w:w="106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流程管理</w:t>
            </w:r>
            <w:r/>
          </w:p>
        </w:tc>
        <w:tc>
          <w:tcPr>
            <w:tcW w:w="80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21分</w:t>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准时送货</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9分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送货准时，每次所需食材按招标方要求一并送达9分（非不可抗拒情况下延误一次扣3分，以此类推，扣完为止。发现委托其他人或其他车代送不得分）。</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1005"/>
        </w:trPr>
        <w:tc>
          <w:tcPr>
            <w:tcW w:w="106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80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服务态度</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4分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工作人员工作认真，服务热情周到，运送搬装文明，4分（运送人员野蛮运装或无正当理由与食堂工作人员争执，一次扣2分，扣完为止）。</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1012"/>
        </w:trPr>
        <w:tc>
          <w:tcPr>
            <w:tcW w:w="106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80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工作细致</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8分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配送物品清单与实际配送无差错，送货单（结算凭证）项目齐全，打印清晰8分（误差一次扣2分，以此类推，扣完为止）。</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1151"/>
        </w:trPr>
        <w:tc>
          <w:tcPr>
            <w:tcW w:w="106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质量管理</w:t>
            </w:r>
            <w:r/>
          </w:p>
        </w:tc>
        <w:tc>
          <w:tcPr>
            <w:tcW w:w="80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49分</w:t>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食材每日评分汇总</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25分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对配送单位提供的食材质量进行验收考核（验收时按各类食材验收标准打分，由每次得分汇总得出月度分）。每批次每有一种品类食材不符合验收标准的扣2分，扣完为止。</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852"/>
        </w:trPr>
        <w:tc>
          <w:tcPr>
            <w:tcW w:w="1064" w:type="dxa"/>
            <w:vAlign w:val="center"/>
            <w:vMerge w:val="continue"/>
            <w:textDirection w:val="lrTb"/>
            <w:noWrap w:val="false"/>
          </w:tcPr>
          <w:p>
            <w:pPr>
              <w:jc w:val="cente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c>
          <w:tcPr>
            <w:tcW w:w="804" w:type="dxa"/>
            <w:vAlign w:val="center"/>
            <w:vMerge w:val="continue"/>
            <w:textDirection w:val="lrTb"/>
            <w:noWrap w:val="false"/>
          </w:tcPr>
          <w:p>
            <w:pPr>
              <w:jc w:val="cente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c>
          <w:tcPr>
            <w:tcW w:w="1249" w:type="dxa"/>
            <w:vAlign w:val="center"/>
            <w:textDirection w:val="lrTb"/>
            <w:noWrap w:val="false"/>
          </w:tcPr>
          <w:p>
            <w:pPr>
              <w:jc w:val="center"/>
              <w:spacing w:line="300" w:lineRule="exact"/>
              <w:rPr>
                <w:rFonts w:ascii="微软雅黑" w:hAnsi="微软雅黑" w:cs="微软雅黑"/>
                <w:spacing w:val="-2"/>
                <w:szCs w:val="21"/>
              </w:rPr>
            </w:pPr>
            <w:r>
              <w:rPr>
                <w:rFonts w:hint="eastAsia" w:ascii="微软雅黑" w:hAnsi="微软雅黑" w:cs="微软雅黑"/>
                <w:spacing w:val="-2"/>
                <w:szCs w:val="21"/>
              </w:rPr>
              <w:t xml:space="preserve">足斤足两</w:t>
            </w:r>
            <w:r/>
          </w:p>
        </w:tc>
        <w:tc>
          <w:tcPr>
            <w:tcW w:w="777" w:type="dxa"/>
            <w:vAlign w:val="center"/>
            <w:textDirection w:val="lrTb"/>
            <w:noWrap w:val="false"/>
          </w:tcPr>
          <w:p>
            <w:pPr>
              <w:jc w:val="center"/>
              <w:spacing w:line="300" w:lineRule="exact"/>
              <w:rPr>
                <w:rFonts w:ascii="微软雅黑" w:hAnsi="微软雅黑" w:cs="微软雅黑"/>
                <w:spacing w:val="-2"/>
                <w:szCs w:val="21"/>
              </w:rPr>
            </w:pPr>
            <w:r>
              <w:rPr>
                <w:rFonts w:hint="eastAsia" w:ascii="微软雅黑" w:hAnsi="微软雅黑" w:cs="微软雅黑"/>
                <w:spacing w:val="-2"/>
                <w:szCs w:val="21"/>
              </w:rPr>
              <w:t xml:space="preserve">24分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送货无短斤缺两现象24分（份量短缺达到该类食材配送总量5%以上，有一次扣3分，以此类推，扣完为止）。</w:t>
            </w:r>
            <w:r/>
          </w:p>
        </w:tc>
        <w:tc>
          <w:tcPr>
            <w:tcW w:w="790" w:type="dxa"/>
            <w:vAlign w:val="center"/>
            <w:textDirection w:val="lrTb"/>
            <w:noWrap w:val="false"/>
          </w:tcPr>
          <w:p>
            <w:pPr>
              <w:spacing w:line="300" w:lineRule="exact"/>
              <w:rPr>
                <w:rFonts w:ascii="微软雅黑" w:hAnsi="微软雅黑" w:cs="微软雅黑"/>
                <w:color w:val="ff0000"/>
                <w:spacing w:val="-2"/>
                <w:szCs w:val="21"/>
              </w:rPr>
            </w:pPr>
            <w:r>
              <w:rPr>
                <w:rFonts w:ascii="微软雅黑" w:hAnsi="微软雅黑" w:cs="微软雅黑"/>
                <w:color w:val="ff0000"/>
                <w:spacing w:val="-2"/>
                <w:szCs w:val="21"/>
              </w:rPr>
            </w:r>
            <w:r/>
          </w:p>
        </w:tc>
      </w:tr>
      <w:tr>
        <w:trPr>
          <w:jc w:val="center"/>
          <w:trHeight w:val="662"/>
        </w:trPr>
        <w:tc>
          <w:tcPr>
            <w:tcW w:w="106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科学管理</w:t>
            </w:r>
            <w:r/>
          </w:p>
        </w:tc>
        <w:tc>
          <w:tcPr>
            <w:tcW w:w="804" w:type="dxa"/>
            <w:vAlign w:val="center"/>
            <w:vMerge w:val="restart"/>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30分</w:t>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报价准确</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20分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每次报价与投标所报的浮动比例浮动后的价格一致，符合标书要求（有误差，每次扣3分，以此类推，扣完为止）。</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835"/>
        </w:trPr>
        <w:tc>
          <w:tcPr>
            <w:tcW w:w="106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80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安全清洁</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5分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操作场所、运输工具、贮物筐箱等保持清洁卫生，坚持每天清洁工作，定期消毒并有记录。（抽查到不符要求的每次扣1分，以此类推，扣完为止）。</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542"/>
        </w:trPr>
        <w:tc>
          <w:tcPr>
            <w:tcW w:w="106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80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联系制度</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3分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如市场没有招标方所需食材品种，事先与招标方联系并谈妥更换品种、品级、规格、价格等事项，然后发货。不满足扣3分。（配送单位单方定价后送货不得分）。</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Pr>
        <w:tc>
          <w:tcPr>
            <w:tcW w:w="106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804" w:type="dxa"/>
            <w:vAlign w:val="center"/>
            <w:vMerge w:val="continue"/>
            <w:textDirection w:val="lrTb"/>
            <w:noWrap w:val="false"/>
          </w:tcPr>
          <w:p>
            <w:pPr>
              <w:jc w:val="center"/>
              <w:spacing w:line="300" w:lineRule="exact"/>
              <w:widowControl/>
              <w:rPr>
                <w:rFonts w:ascii="微软雅黑" w:hAnsi="微软雅黑" w:cs="微软雅黑"/>
                <w:color w:val="000000"/>
                <w:spacing w:val="-2"/>
                <w:szCs w:val="21"/>
              </w:rPr>
            </w:pPr>
            <w:r>
              <w:rPr>
                <w:rFonts w:ascii="微软雅黑" w:hAnsi="微软雅黑" w:cs="微软雅黑"/>
                <w:color w:val="000000"/>
                <w:spacing w:val="-2"/>
                <w:szCs w:val="21"/>
              </w:rPr>
            </w:r>
            <w:r/>
          </w:p>
        </w:tc>
        <w:tc>
          <w:tcPr>
            <w:tcW w:w="1249"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及时整改</w:t>
            </w:r>
            <w:r/>
          </w:p>
        </w:tc>
        <w:tc>
          <w:tcPr>
            <w:tcW w:w="777"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2分</w:t>
            </w:r>
            <w:r/>
          </w:p>
        </w:tc>
        <w:tc>
          <w:tcPr>
            <w:tcW w:w="4814" w:type="dxa"/>
            <w:vAlign w:val="center"/>
            <w:textDirection w:val="lrTb"/>
            <w:noWrap w:val="false"/>
          </w:tcPr>
          <w:p>
            <w:pP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对招标方的意见、建议虚心接受，运作过程中出现的新情况、新问题及时主动沟通、协调有效果，及时整改见实效（2分）（整改效果不明显扣1分，未见整改效果不得分）。</w:t>
            </w:r>
            <w:r/>
          </w:p>
        </w:tc>
        <w:tc>
          <w:tcPr>
            <w:tcW w:w="790" w:type="dxa"/>
            <w:vAlign w:val="center"/>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575"/>
        </w:trPr>
        <w:tc>
          <w:tcPr>
            <w:gridSpan w:val="4"/>
            <w:tcW w:w="3894"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得分</w:t>
            </w:r>
            <w:r/>
          </w:p>
        </w:tc>
        <w:tc>
          <w:tcPr>
            <w:gridSpan w:val="2"/>
            <w:tcW w:w="5604" w:type="dxa"/>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r>
        <w:trPr>
          <w:jc w:val="center"/>
          <w:trHeight w:val="558"/>
        </w:trPr>
        <w:tc>
          <w:tcPr>
            <w:gridSpan w:val="4"/>
            <w:tcW w:w="3894" w:type="dxa"/>
            <w:vAlign w:val="center"/>
            <w:textDirection w:val="lrTb"/>
            <w:noWrap w:val="false"/>
          </w:tcPr>
          <w:p>
            <w:pPr>
              <w:jc w:val="center"/>
              <w:spacing w:line="300" w:lineRule="exact"/>
              <w:rPr>
                <w:rFonts w:ascii="微软雅黑" w:hAnsi="微软雅黑" w:cs="微软雅黑"/>
                <w:color w:val="000000"/>
                <w:spacing w:val="-2"/>
                <w:szCs w:val="21"/>
              </w:rPr>
            </w:pPr>
            <w:r>
              <w:rPr>
                <w:rFonts w:hint="eastAsia" w:ascii="微软雅黑" w:hAnsi="微软雅黑" w:cs="微软雅黑"/>
                <w:color w:val="000000"/>
                <w:spacing w:val="-2"/>
                <w:szCs w:val="21"/>
              </w:rPr>
              <w:t xml:space="preserve">评分人签字</w:t>
            </w:r>
            <w:r/>
          </w:p>
        </w:tc>
        <w:tc>
          <w:tcPr>
            <w:gridSpan w:val="2"/>
            <w:tcW w:w="5604" w:type="dxa"/>
            <w:textDirection w:val="lrTb"/>
            <w:noWrap w:val="false"/>
          </w:tcPr>
          <w:p>
            <w:pPr>
              <w:spacing w:line="300" w:lineRule="exact"/>
              <w:rPr>
                <w:rFonts w:ascii="微软雅黑" w:hAnsi="微软雅黑" w:cs="微软雅黑"/>
                <w:color w:val="000000"/>
                <w:spacing w:val="-2"/>
                <w:szCs w:val="21"/>
              </w:rPr>
            </w:pPr>
            <w:r>
              <w:rPr>
                <w:rFonts w:ascii="微软雅黑" w:hAnsi="微软雅黑" w:cs="微软雅黑"/>
                <w:color w:val="000000"/>
                <w:spacing w:val="-2"/>
                <w:szCs w:val="21"/>
              </w:rPr>
            </w:r>
            <w:r/>
          </w:p>
        </w:tc>
      </w:tr>
    </w:tbl>
    <w:p>
      <w:pPr>
        <w:ind w:right="-210"/>
        <w:jc w:val="left"/>
        <w:spacing w:line="440" w:lineRule="exact"/>
        <w:widowControl/>
        <w:rPr>
          <w:rFonts w:ascii="微软雅黑" w:hAnsi="微软雅黑" w:cs="微软雅黑"/>
          <w:szCs w:val="21"/>
        </w:rPr>
      </w:pPr>
      <w:r>
        <w:rPr>
          <w:rFonts w:hint="eastAsia" w:ascii="微软雅黑" w:hAnsi="微软雅黑" w:cs="微软雅黑"/>
          <w:szCs w:val="21"/>
        </w:rPr>
        <w:t xml:space="preserve">说明：如供应商日常配送、验收及现场要求严重违反规定，将对供应商进行处罚（见表2）。</w:t>
      </w:r>
      <w:r/>
    </w:p>
    <w:p>
      <w:pPr>
        <w:ind w:right="-210"/>
        <w:jc w:val="left"/>
        <w:spacing w:line="440" w:lineRule="exact"/>
        <w:widowControl/>
        <w:rPr>
          <w:rFonts w:ascii="微软雅黑" w:hAnsi="微软雅黑" w:cs="微软雅黑"/>
          <w:szCs w:val="21"/>
        </w:rPr>
      </w:pPr>
      <w:r>
        <w:rPr>
          <w:rFonts w:hint="eastAsia" w:ascii="微软雅黑" w:hAnsi="微软雅黑" w:cs="微软雅黑"/>
          <w:szCs w:val="21"/>
        </w:rPr>
        <w:t xml:space="preserve">表2</w:t>
      </w:r>
      <w:r/>
    </w:p>
    <w:tbl>
      <w:tblPr>
        <w:tblStyle w:val="11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5601"/>
        <w:gridCol w:w="2255"/>
      </w:tblGrid>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序号</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违规情况</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处罚金额（元/次）</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1</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无故配送延误15 分钟-30 分钟</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500-2000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2</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无故配送延误30 分钟-60 分钟</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2000-4000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3</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产品质量以次充好</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10000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配送与订货实物不符，数量、规格有差异</w:t>
            </w:r>
            <w:r/>
          </w:p>
        </w:tc>
        <w:tc>
          <w:tcPr>
            <w:shd w:val="clear" w:color="auto" w:fill="auto"/>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500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提供的检验检疫、合格证等票据票证不符合规定</w:t>
            </w:r>
            <w:r/>
          </w:p>
        </w:tc>
        <w:tc>
          <w:tcPr>
            <w:shd w:val="clear" w:color="auto" w:fill="auto"/>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10000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6</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配送人员服务态度恶劣，举止粗鲁</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500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7</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配送人员没有健康证</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2000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8</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配送人员车辆不遵守采购方车辆管理要求，随意停放</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500</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pStyle w:val="1165"/>
              <w:ind w:firstLine="0"/>
              <w:jc w:val="center"/>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9</w:t>
            </w:r>
            <w:r/>
          </w:p>
        </w:tc>
        <w:tc>
          <w:tcPr>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配送车辆环境差，不符合食品安全要求</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pStyle w:val="1165"/>
              <w:ind w:firstLine="0"/>
              <w:jc w:val="left"/>
              <w:spacing w:line="400" w:lineRule="exact"/>
              <w:rPr>
                <w:rFonts w:ascii="微软雅黑" w:hAnsi="微软雅黑" w:eastAsia="微软雅黑" w:cs="微软雅黑"/>
                <w:color w:val="000000"/>
                <w:spacing w:val="-2"/>
                <w:sz w:val="21"/>
                <w:szCs w:val="21"/>
              </w:rPr>
            </w:pPr>
            <w:r>
              <w:rPr>
                <w:rFonts w:hint="eastAsia" w:ascii="微软雅黑" w:hAnsi="微软雅黑" w:eastAsia="微软雅黑" w:cs="微软雅黑"/>
                <w:color w:val="000000"/>
                <w:spacing w:val="-2"/>
                <w:sz w:val="21"/>
                <w:szCs w:val="21"/>
              </w:rPr>
              <w:t xml:space="preserve">1000</w:t>
            </w:r>
            <w:r/>
          </w:p>
        </w:tc>
      </w:tr>
    </w:tbl>
    <w:p>
      <w:pPr>
        <w:pStyle w:val="1147"/>
        <w:spacing w:before="120" w:after="0"/>
        <w:rPr>
          <w:rFonts w:ascii="微软雅黑" w:hAnsi="微软雅黑" w:eastAsia="微软雅黑" w:cs="微软雅黑"/>
          <w:b/>
          <w:bCs/>
          <w:sz w:val="21"/>
          <w:szCs w:val="21"/>
          <w:lang w:val="zh-CN"/>
        </w:rPr>
      </w:pPr>
      <w:r/>
      <w:bookmarkStart w:id="415" w:name="_Toc49"/>
      <w:r>
        <w:rPr>
          <w:rFonts w:hint="eastAsia" w:ascii="微软雅黑" w:hAnsi="微软雅黑" w:eastAsia="微软雅黑" w:cs="微软雅黑"/>
          <w:b/>
          <w:bCs/>
          <w:sz w:val="21"/>
          <w:szCs w:val="21"/>
          <w:lang w:val="zh-CN"/>
        </w:rPr>
        <w:t xml:space="preserve">七、支付方式</w:t>
      </w:r>
      <w:bookmarkEnd w:id="415"/>
      <w:r/>
      <w:r/>
    </w:p>
    <w:p>
      <w:pPr>
        <w:ind w:firstLine="420"/>
        <w:jc w:val="left"/>
        <w:spacing w:line="420" w:lineRule="exact"/>
        <w:rPr>
          <w:rFonts w:ascii="微软雅黑" w:hAnsi="微软雅黑" w:cs="微软雅黑"/>
          <w:szCs w:val="21"/>
        </w:rPr>
      </w:pPr>
      <w:r>
        <w:rPr>
          <w:rFonts w:ascii="微软雅黑" w:hAnsi="微软雅黑" w:cs="微软雅黑"/>
          <w:szCs w:val="21"/>
        </w:rPr>
        <w:t xml:space="preserve">货款结算及支付时间为月结，次月15号前</w:t>
      </w:r>
      <w:r>
        <w:rPr>
          <w:rFonts w:hint="eastAsia" w:ascii="微软雅黑" w:hAnsi="微软雅黑" w:cs="微软雅黑"/>
          <w:szCs w:val="21"/>
        </w:rPr>
        <w:t xml:space="preserve">乙方</w:t>
      </w:r>
      <w:r>
        <w:rPr>
          <w:rFonts w:ascii="微软雅黑" w:hAnsi="微软雅黑" w:cs="微软雅黑"/>
          <w:szCs w:val="21"/>
        </w:rPr>
        <w:t xml:space="preserve">具发票，30</w:t>
      </w:r>
      <w:r>
        <w:rPr>
          <w:rFonts w:hint="eastAsia" w:ascii="微软雅黑" w:hAnsi="微软雅黑" w:cs="微软雅黑"/>
          <w:szCs w:val="21"/>
        </w:rPr>
        <w:t xml:space="preserve">日历</w:t>
      </w:r>
      <w:r>
        <w:rPr>
          <w:rFonts w:ascii="微软雅黑" w:hAnsi="微软雅黑" w:cs="微软雅黑"/>
          <w:szCs w:val="21"/>
        </w:rPr>
        <w:t xml:space="preserve">天内</w:t>
      </w:r>
      <w:r>
        <w:rPr>
          <w:rFonts w:hint="eastAsia" w:ascii="微软雅黑" w:hAnsi="微软雅黑" w:cs="微软雅黑"/>
          <w:szCs w:val="21"/>
        </w:rPr>
        <w:t xml:space="preserve">甲方</w:t>
      </w:r>
      <w:r>
        <w:rPr>
          <w:rFonts w:ascii="微软雅黑" w:hAnsi="微软雅黑" w:cs="微软雅黑"/>
          <w:szCs w:val="21"/>
        </w:rPr>
        <w:t xml:space="preserve">结清上月货款。如遇其他特殊情况双方可协商付款时间</w:t>
      </w:r>
      <w:r>
        <w:rPr>
          <w:rFonts w:hint="eastAsia" w:ascii="微软雅黑" w:hAnsi="微软雅黑" w:cs="微软雅黑"/>
          <w:szCs w:val="21"/>
        </w:rPr>
        <w:t xml:space="preserve">。</w:t>
      </w:r>
      <w:r/>
    </w:p>
    <w:p>
      <w:r/>
      <w:r/>
    </w:p>
    <w:p>
      <w:pPr>
        <w:rPr>
          <w:rFonts w:ascii="微软雅黑" w:hAnsi="微软雅黑" w:cs="微软雅黑"/>
          <w:szCs w:val="32"/>
        </w:rPr>
      </w:pPr>
      <w:r>
        <w:rPr>
          <w:rFonts w:ascii="微软雅黑" w:hAnsi="微软雅黑" w:cs="微软雅黑"/>
          <w:szCs w:val="32"/>
        </w:rPr>
      </w:r>
      <w:r/>
    </w:p>
    <w:p>
      <w:pPr>
        <w:pStyle w:val="1157"/>
        <w:rPr>
          <w:szCs w:val="32"/>
        </w:rPr>
      </w:pPr>
      <w:r>
        <w:rPr>
          <w:szCs w:val="32"/>
        </w:rPr>
      </w:r>
      <w:r/>
    </w:p>
    <w:p>
      <w:p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
    </w:p>
    <w:p>
      <w:pPr>
        <w:pStyle w:val="1348"/>
        <w:spacing w:line="360" w:lineRule="exact"/>
        <w:widowControl/>
        <w:rPr>
          <w:rFonts w:ascii="微软雅黑" w:hAnsi="微软雅黑" w:cs="微软雅黑"/>
          <w:szCs w:val="32"/>
        </w:rPr>
      </w:pPr>
      <w:r/>
      <w:bookmarkStart w:id="416" w:name="_Toc50"/>
      <w:r>
        <w:rPr>
          <w:rFonts w:hint="eastAsia" w:ascii="微软雅黑" w:hAnsi="微软雅黑" w:cs="微软雅黑"/>
          <w:szCs w:val="32"/>
        </w:rPr>
        <w:t xml:space="preserve">第五章 采购合同</w:t>
      </w:r>
      <w:bookmarkStart w:id="246" w:name="purchase_relation_tel"/>
      <w:r/>
      <w:bookmarkEnd w:id="246"/>
      <w:r/>
      <w:bookmarkStart w:id="247" w:name="suppliers_name_one"/>
      <w:r/>
      <w:bookmarkEnd w:id="247"/>
      <w:r/>
      <w:bookmarkStart w:id="248" w:name="suppliers_name"/>
      <w:r/>
      <w:bookmarkEnd w:id="248"/>
      <w:r/>
      <w:bookmarkStart w:id="249" w:name="purchase_name_one"/>
      <w:r/>
      <w:bookmarkEnd w:id="249"/>
      <w:r/>
      <w:bookmarkStart w:id="250" w:name="purchase_one_start"/>
      <w:r/>
      <w:bookmarkEnd w:id="250"/>
      <w:r/>
      <w:bookmarkStart w:id="251" w:name="purchase_relation_name"/>
      <w:r/>
      <w:bookmarkEnd w:id="251"/>
      <w:r/>
      <w:bookmarkStart w:id="252" w:name="supplier_relation_name"/>
      <w:r/>
      <w:bookmarkEnd w:id="252"/>
      <w:r/>
      <w:bookmarkStart w:id="253" w:name="supplier_relation_tel"/>
      <w:r/>
      <w:bookmarkEnd w:id="253"/>
      <w:r/>
      <w:bookmarkEnd w:id="416"/>
      <w:r/>
      <w:r/>
    </w:p>
    <w:p>
      <w:pPr>
        <w:jc w:val="center"/>
        <w:rPr>
          <w:rFonts w:eastAsia="黑体"/>
          <w:sz w:val="52"/>
        </w:rPr>
      </w:pPr>
      <w:r>
        <w:rPr>
          <w:rFonts w:eastAsia="黑体"/>
          <w:sz w:val="52"/>
        </w:rPr>
      </w:r>
      <w:r/>
    </w:p>
    <w:p>
      <w:pPr>
        <w:jc w:val="center"/>
        <w:rPr>
          <w:rFonts w:eastAsia="黑体"/>
          <w:sz w:val="52"/>
        </w:rPr>
      </w:pPr>
      <w:r>
        <w:rPr>
          <w:rFonts w:hint="eastAsia" w:eastAsia="黑体"/>
          <w:sz w:val="52"/>
        </w:rPr>
        <w:t xml:space="preserve">采 购 合 同</w:t>
      </w:r>
      <w:r/>
    </w:p>
    <w:p>
      <w:pPr>
        <w:ind w:firstLine="315"/>
        <w:rPr>
          <w:rFonts w:ascii="黑体" w:eastAsia="黑体"/>
          <w:b/>
          <w:sz w:val="36"/>
        </w:rPr>
      </w:pPr>
      <w:r>
        <w:rPr>
          <w:rFonts w:ascii="仿宋_GB2312" w:eastAsia="仿宋_GB2312"/>
          <w:b/>
          <w:sz w:val="32"/>
        </w:rPr>
        <w:t xml:space="preserve">            </w:t>
      </w:r>
      <w:r>
        <w:rPr>
          <w:rFonts w:ascii="仿宋_GB2312" w:eastAsia="仿宋_GB2312"/>
          <w:sz w:val="32"/>
        </w:rPr>
        <w:t xml:space="preserve">  </w:t>
      </w:r>
      <w:r/>
    </w:p>
    <w:p>
      <w:r/>
      <w:r/>
    </w:p>
    <w:p>
      <w:pPr>
        <w:rPr>
          <w:rFonts w:ascii="黑体" w:eastAsia="黑体"/>
          <w:b/>
          <w:sz w:val="36"/>
        </w:rPr>
      </w:pPr>
      <w:r>
        <w:rPr>
          <w:rFonts w:ascii="黑体" w:eastAsia="黑体"/>
          <w:b/>
          <w:sz w:val="36"/>
        </w:rPr>
      </w:r>
      <w:r/>
    </w:p>
    <w:p>
      <w:pPr>
        <w:pStyle w:val="1157"/>
        <w:rPr>
          <w:rFonts w:ascii="黑体" w:eastAsia="黑体"/>
          <w:sz w:val="36"/>
        </w:rPr>
      </w:pPr>
      <w:r>
        <w:rPr>
          <w:rFonts w:ascii="黑体" w:eastAsia="黑体"/>
          <w:sz w:val="36"/>
        </w:rPr>
      </w:r>
      <w:r/>
    </w:p>
    <w:p>
      <w:pPr>
        <w:rPr>
          <w:rFonts w:ascii="黑体" w:eastAsia="黑体"/>
          <w:b/>
          <w:sz w:val="36"/>
        </w:rPr>
      </w:pPr>
      <w:r>
        <w:rPr>
          <w:rFonts w:ascii="黑体" w:eastAsia="黑体"/>
          <w:b/>
          <w:sz w:val="36"/>
        </w:rPr>
      </w:r>
      <w:r/>
    </w:p>
    <w:p>
      <w:pPr>
        <w:pStyle w:val="1157"/>
      </w:pPr>
      <w:r/>
      <w:r/>
    </w:p>
    <w:p>
      <w:r/>
      <w:r/>
    </w:p>
    <w:p>
      <w:pPr>
        <w:rPr>
          <w:rFonts w:ascii="黑体" w:eastAsia="黑体"/>
          <w:b/>
          <w:sz w:val="36"/>
        </w:rPr>
      </w:pPr>
      <w:r>
        <w:rPr>
          <w:rFonts w:ascii="黑体" w:eastAsia="黑体"/>
          <w:b/>
          <w:sz w:val="36"/>
        </w:rPr>
      </w:r>
      <w:r/>
    </w:p>
    <w:p>
      <w:r/>
      <w:r/>
    </w:p>
    <w:p>
      <w:pPr>
        <w:rPr>
          <w:rFonts w:ascii="黑体" w:eastAsia="黑体"/>
          <w:b/>
          <w:sz w:val="36"/>
        </w:rPr>
      </w:pPr>
      <w:r>
        <w:rPr>
          <w:rFonts w:ascii="黑体" w:eastAsia="黑体"/>
          <w:b/>
          <w:sz w:val="36"/>
        </w:rPr>
      </w:r>
      <w:r/>
    </w:p>
    <w:p>
      <w:r/>
      <w:r/>
    </w:p>
    <w:p>
      <w:pPr>
        <w:ind w:firstLine="1918"/>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rPr>
          <w:rFonts w:ascii="黑体" w:eastAsia="黑体"/>
          <w:b/>
          <w:sz w:val="36"/>
        </w:rPr>
      </w:pPr>
      <w:r>
        <w:rPr>
          <w:rFonts w:ascii="黑体" w:eastAsia="黑体"/>
          <w:b/>
          <w:sz w:val="36"/>
        </w:rPr>
      </w:r>
      <w:r/>
    </w:p>
    <w:p>
      <w:pPr>
        <w:ind w:firstLine="1918"/>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rPr>
          <w:rFonts w:ascii="黑体" w:eastAsia="黑体"/>
          <w:b/>
          <w:sz w:val="36"/>
        </w:rPr>
      </w:pPr>
      <w:r>
        <w:rPr>
          <w:rFonts w:ascii="黑体" w:eastAsia="黑体"/>
          <w:b/>
          <w:sz w:val="36"/>
        </w:rPr>
      </w:r>
      <w:r/>
    </w:p>
    <w:p>
      <w:pPr>
        <w:ind w:firstLine="1916"/>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rPr>
          <w:rFonts w:ascii="黑体" w:eastAsia="黑体"/>
          <w:sz w:val="36"/>
        </w:rPr>
      </w:pPr>
      <w:r>
        <w:rPr>
          <w:rFonts w:ascii="黑体" w:eastAsia="黑体"/>
          <w:sz w:val="36"/>
        </w:rPr>
        <w:t xml:space="preserve">       </w:t>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宋体" w:hAnsi="宋体" w:cs="宋体"/>
          <w:szCs w:val="21"/>
        </w:rPr>
      </w:pPr>
      <w:r>
        <w:rPr>
          <w:rFonts w:hint="eastAsia" w:ascii="宋体" w:hAnsi="宋体" w:cs="宋体"/>
          <w:szCs w:val="21"/>
        </w:rPr>
        <w:br w:type="page" w:clear="all"/>
      </w:r>
      <w:r/>
    </w:p>
    <w:p>
      <w:pPr>
        <w:ind w:firstLine="420"/>
        <w:jc w:val="left"/>
        <w:spacing w:line="360" w:lineRule="auto"/>
        <w:widowControl/>
        <w:rPr>
          <w:rFonts w:ascii="宋体" w:hAnsi="宋体" w:cs="宋体"/>
          <w:szCs w:val="21"/>
        </w:rPr>
      </w:pPr>
      <w:r>
        <w:rPr>
          <w:rFonts w:hint="eastAsia" w:ascii="宋体" w:hAnsi="宋体" w:cs="宋体"/>
          <w:szCs w:val="21"/>
        </w:rPr>
        <w:t xml:space="preserve">经</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（以下简称“甲方”）与 </w:t>
      </w:r>
      <w:r>
        <w:rPr>
          <w:rFonts w:hint="eastAsia" w:ascii="宋体" w:hAnsi="宋体" w:cs="宋体"/>
          <w:szCs w:val="21"/>
          <w:u w:val="single"/>
        </w:rPr>
        <w:t xml:space="preserve">             </w:t>
      </w:r>
      <w:r>
        <w:rPr>
          <w:rFonts w:hint="eastAsia" w:ascii="宋体" w:hAnsi="宋体" w:cs="宋体"/>
          <w:szCs w:val="21"/>
        </w:rPr>
        <w:t xml:space="preserve">（以下简称“乙方”）平等协商，就南京市六合区人民法院食堂食材采购达成以下合同条款：</w:t>
      </w:r>
      <w:r/>
    </w:p>
    <w:p>
      <w:pPr>
        <w:jc w:val="left"/>
        <w:spacing w:line="360" w:lineRule="auto"/>
        <w:widowControl/>
        <w:tabs>
          <w:tab w:val="left" w:pos="426" w:leader="none"/>
          <w:tab w:val="left" w:pos="720" w:leader="none"/>
          <w:tab w:val="left" w:pos="975" w:leader="none"/>
        </w:tabs>
        <w:rPr>
          <w:rFonts w:ascii="宋体" w:hAnsi="宋体" w:cs="宋体"/>
          <w:szCs w:val="21"/>
        </w:rPr>
      </w:pPr>
      <w:r>
        <w:rPr>
          <w:rFonts w:ascii="宋体" w:hAnsi="宋体" w:cs="宋体"/>
          <w:b/>
          <w:szCs w:val="21"/>
        </w:rPr>
        <w:t xml:space="preserve">一</w:t>
      </w:r>
      <w:r>
        <w:rPr>
          <w:rFonts w:hint="eastAsia" w:ascii="宋体" w:hAnsi="宋体" w:cs="宋体"/>
          <w:b/>
          <w:szCs w:val="21"/>
        </w:rPr>
        <w:t xml:space="preserve">、合同履行期限</w:t>
      </w:r>
      <w:r/>
    </w:p>
    <w:p>
      <w:pPr>
        <w:ind w:firstLine="420"/>
        <w:jc w:val="left"/>
        <w:spacing w:line="360" w:lineRule="auto"/>
        <w:widowControl/>
        <w:tabs>
          <w:tab w:val="left" w:pos="975" w:leader="none"/>
        </w:tabs>
        <w:rPr>
          <w:rFonts w:ascii="宋体" w:hAnsi="宋体" w:cs="宋体"/>
          <w:szCs w:val="21"/>
        </w:rPr>
      </w:pPr>
      <w:r>
        <w:rPr>
          <w:rFonts w:hint="eastAsia" w:ascii="宋体" w:hAnsi="宋体" w:cs="宋体"/>
          <w:bCs/>
          <w:szCs w:val="21"/>
        </w:rPr>
        <w:t xml:space="preserve">自</w:t>
      </w:r>
      <w:r>
        <w:rPr>
          <w:rFonts w:hint="eastAsia" w:ascii="宋体" w:hAnsi="宋体" w:cs="宋体"/>
          <w:bCs/>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 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p>
    <w:p>
      <w:pPr>
        <w:jc w:val="left"/>
        <w:spacing w:line="360" w:lineRule="auto"/>
        <w:widowControl/>
        <w:tabs>
          <w:tab w:val="left" w:pos="975" w:leader="none"/>
        </w:tabs>
        <w:rPr>
          <w:rFonts w:ascii="宋体" w:hAnsi="宋体" w:cs="宋体"/>
          <w:b/>
          <w:szCs w:val="21"/>
        </w:rPr>
      </w:pPr>
      <w:r>
        <w:rPr>
          <w:rFonts w:hint="eastAsia" w:ascii="宋体" w:hAnsi="宋体" w:cs="宋体"/>
          <w:b/>
          <w:szCs w:val="21"/>
        </w:rPr>
        <w:t xml:space="preserve">二、每日供应的食材品种、数量</w:t>
      </w:r>
      <w:r/>
    </w:p>
    <w:p>
      <w:pPr>
        <w:ind w:firstLine="420"/>
        <w:jc w:val="left"/>
        <w:spacing w:line="360" w:lineRule="auto"/>
        <w:widowControl/>
        <w:tabs>
          <w:tab w:val="left" w:pos="975" w:leader="none"/>
        </w:tabs>
        <w:rPr>
          <w:rFonts w:ascii="宋体" w:hAnsi="宋体" w:cs="宋体"/>
          <w:szCs w:val="21"/>
        </w:rPr>
      </w:pPr>
      <w:r>
        <w:rPr>
          <w:rFonts w:hint="eastAsia" w:ascii="宋体" w:hAnsi="宋体" w:cs="宋体"/>
          <w:szCs w:val="21"/>
        </w:rPr>
        <w:t xml:space="preserve">以甲方提供的需求计划单为准。</w:t>
      </w:r>
      <w:r/>
    </w:p>
    <w:p>
      <w:pPr>
        <w:jc w:val="left"/>
        <w:spacing w:line="360" w:lineRule="auto"/>
        <w:widowControl/>
        <w:tabs>
          <w:tab w:val="left" w:pos="975" w:leader="none"/>
        </w:tabs>
        <w:rPr>
          <w:rFonts w:ascii="宋体" w:hAnsi="宋体" w:cs="宋体"/>
          <w:b/>
          <w:szCs w:val="21"/>
        </w:rPr>
      </w:pPr>
      <w:r>
        <w:rPr>
          <w:rFonts w:hint="eastAsia" w:ascii="宋体" w:hAnsi="宋体" w:cs="宋体"/>
          <w:b/>
          <w:szCs w:val="21"/>
        </w:rPr>
        <w:t xml:space="preserve">三、合同价款</w:t>
      </w:r>
      <w:r/>
    </w:p>
    <w:p>
      <w:pPr>
        <w:ind w:firstLine="420"/>
        <w:jc w:val="left"/>
        <w:spacing w:line="360" w:lineRule="auto"/>
        <w:widowControl/>
        <w:rPr>
          <w:rFonts w:ascii="宋体" w:hAnsi="宋体" w:cs="宋体"/>
          <w:szCs w:val="21"/>
          <w:highlight w:val="none"/>
        </w:rPr>
      </w:pPr>
      <w:r>
        <w:rPr>
          <w:rFonts w:hint="eastAsia" w:ascii="宋体" w:hAnsi="宋体" w:cs="宋体"/>
          <w:b/>
          <w:szCs w:val="21"/>
        </w:rPr>
        <w:t xml:space="preserve">采用固</w:t>
      </w:r>
      <w:r>
        <w:rPr>
          <w:rFonts w:hint="eastAsia" w:ascii="宋体" w:hAnsi="宋体" w:cs="宋体"/>
          <w:b/>
          <w:szCs w:val="21"/>
        </w:rPr>
        <w:t xml:space="preserve">定</w:t>
      </w:r>
      <w:r>
        <w:rPr>
          <w:rFonts w:hint="eastAsia" w:ascii="宋体" w:hAnsi="宋体" w:cs="宋体"/>
          <w:b/>
          <w:szCs w:val="21"/>
          <w:lang w:eastAsia="zh-CN"/>
        </w:rPr>
        <w:t xml:space="preserve">优惠</w:t>
      </w:r>
      <w:r>
        <w:rPr>
          <w:rFonts w:hint="eastAsia" w:ascii="宋体" w:hAnsi="宋体" w:cs="宋体"/>
          <w:b/>
          <w:szCs w:val="21"/>
        </w:rPr>
        <w:t xml:space="preserve">率合同，</w:t>
      </w:r>
      <w:r>
        <w:rPr>
          <w:rFonts w:hint="eastAsia" w:ascii="宋体" w:hAnsi="宋体" w:cs="宋体"/>
          <w:b/>
          <w:szCs w:val="21"/>
          <w:lang w:eastAsia="zh-CN"/>
        </w:rPr>
        <w:t xml:space="preserve">优惠</w:t>
      </w:r>
      <w:r>
        <w:rPr>
          <w:rFonts w:hint="eastAsia" w:ascii="宋体" w:hAnsi="宋体" w:cs="宋体"/>
          <w:b/>
          <w:szCs w:val="21"/>
        </w:rPr>
        <w:t xml:space="preserve">率在合同履</w:t>
      </w:r>
      <w:r>
        <w:rPr>
          <w:rFonts w:hint="eastAsia" w:ascii="宋体" w:hAnsi="宋体" w:cs="宋体"/>
          <w:b/>
          <w:szCs w:val="21"/>
        </w:rPr>
        <w:t xml:space="preserve">行期间固定不变。</w:t>
      </w:r>
      <w:r>
        <w:rPr>
          <w:rFonts w:hint="eastAsia" w:ascii="宋体" w:hAnsi="宋体" w:cs="宋体"/>
          <w:szCs w:val="21"/>
        </w:rPr>
        <w:t xml:space="preserve">当月供应的食材报价以当月第二周同品种南京市发展和改革委员会官网（http://fgw.nanjing.gov.cn）价格信息栏发布的“南京市部分农贸市场主</w:t>
      </w:r>
      <w:r>
        <w:rPr>
          <w:rFonts w:hint="eastAsia" w:ascii="宋体" w:hAnsi="宋体" w:cs="宋体"/>
          <w:szCs w:val="21"/>
          <w:highlight w:val="none"/>
        </w:rPr>
        <w:t xml:space="preserve">副食品周平均价格水平”（如遇南京市发展和改革委员会官网中未列出品种，以六合区同期（当月第二周）同类农贸市场零售价或附近其他大型商超零售价为参考零售价为参考）为基础</w:t>
      </w: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lang w:eastAsia="zh-CN"/>
        </w:rPr>
        <w:t xml:space="preserve">中标优惠</w:t>
      </w:r>
      <w:r>
        <w:rPr>
          <w:rFonts w:hint="eastAsia" w:ascii="宋体" w:hAnsi="宋体" w:cs="宋体"/>
          <w:szCs w:val="21"/>
          <w:highlight w:val="none"/>
          <w:u w:val="single"/>
        </w:rPr>
        <w:t xml:space="preserve">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四、付款方式</w:t>
      </w:r>
      <w:r/>
    </w:p>
    <w:p>
      <w:pPr>
        <w:ind w:firstLine="420"/>
        <w:jc w:val="left"/>
        <w:spacing w:line="360" w:lineRule="auto"/>
        <w:widowControl/>
        <w:tabs>
          <w:tab w:val="left" w:pos="0" w:leader="none"/>
        </w:tabs>
        <w:rPr>
          <w:rFonts w:ascii="宋体" w:hAnsi="宋体" w:cs="宋体"/>
          <w:b/>
          <w:color w:val="ff0000"/>
          <w:szCs w:val="21"/>
          <w:highlight w:val="none"/>
        </w:rPr>
      </w:pPr>
      <w:r>
        <w:rPr>
          <w:rFonts w:hint="eastAsia" w:ascii="宋体" w:hAnsi="宋体" w:cs="宋体"/>
          <w:szCs w:val="21"/>
          <w:highlight w:val="none"/>
        </w:rPr>
        <w:t xml:space="preserve">货款结算及支付时间为月结，次月15号前乙方开具发票，30天内结清上月货款。</w:t>
      </w:r>
      <w:r>
        <w:rPr>
          <w:rFonts w:hint="eastAsia"/>
          <w:b/>
          <w:highlight w:val="none"/>
          <w:lang w:val="zh-CN"/>
        </w:rPr>
        <w:t xml:space="preserve">如遇其他特殊情况双方可协商付款时间。</w:t>
      </w:r>
      <w:r/>
    </w:p>
    <w:p>
      <w:pPr>
        <w:jc w:val="left"/>
        <w:spacing w:line="360" w:lineRule="auto"/>
        <w:widowControl/>
        <w:tabs>
          <w:tab w:val="left" w:pos="0" w:leader="none"/>
        </w:tabs>
        <w:rPr>
          <w:rFonts w:ascii="宋体" w:hAnsi="宋体" w:cs="宋体"/>
          <w:szCs w:val="21"/>
          <w:highlight w:val="none"/>
        </w:rPr>
      </w:pPr>
      <w:r>
        <w:rPr>
          <w:rFonts w:hint="eastAsia" w:ascii="宋体" w:hAnsi="宋体" w:cs="宋体"/>
          <w:b/>
          <w:szCs w:val="21"/>
          <w:highlight w:val="none"/>
        </w:rPr>
        <w:t xml:space="preserve">五、供货时间、地点和相关服务</w:t>
      </w:r>
      <w:r/>
    </w:p>
    <w:p>
      <w:pPr>
        <w:ind w:firstLine="420"/>
        <w:jc w:val="left"/>
        <w:spacing w:line="360" w:lineRule="auto"/>
        <w:widowControl/>
        <w:tabs>
          <w:tab w:val="left" w:pos="0" w:leader="none"/>
        </w:tabs>
        <w:rPr>
          <w:rFonts w:ascii="宋体" w:hAnsi="宋体" w:cs="宋体"/>
          <w:szCs w:val="21"/>
        </w:rPr>
      </w:pPr>
      <w:r>
        <w:rPr>
          <w:rFonts w:hint="eastAsia" w:ascii="宋体" w:hAnsi="宋体" w:cs="宋体"/>
          <w:szCs w:val="21"/>
        </w:rPr>
        <w:t xml:space="preserve">1、本合同项下的食材供货周期</w:t>
      </w:r>
      <w:r>
        <w:rPr>
          <w:rFonts w:hint="eastAsia"/>
          <w:lang w:val="zh-CN"/>
        </w:rPr>
        <w:t xml:space="preserve">按照采购清单在每日的早上</w:t>
      </w:r>
      <w:r>
        <w:rPr>
          <w:rFonts w:hint="eastAsia"/>
        </w:rPr>
        <w:t xml:space="preserve">6:30—</w:t>
      </w:r>
      <w:r>
        <w:rPr>
          <w:rFonts w:hint="eastAsia"/>
          <w:lang w:val="zh-CN"/>
        </w:rPr>
        <w:t xml:space="preserve">7</w:t>
      </w:r>
      <w:r>
        <w:rPr>
          <w:rFonts w:hint="eastAsia"/>
        </w:rPr>
        <w:t xml:space="preserve">:</w:t>
      </w:r>
      <w:r>
        <w:rPr>
          <w:rFonts w:hint="eastAsia"/>
          <w:lang w:val="zh-CN"/>
        </w:rPr>
        <w:t xml:space="preserve">30 前将食材送货至采购人指定地点交接验收，合格后签收货单，并作为每月结算依据。食材不符合接收要求的，需在当日10</w:t>
      </w:r>
      <w:r>
        <w:rPr>
          <w:rFonts w:hint="eastAsia"/>
        </w:rPr>
        <w:t xml:space="preserve">:</w:t>
      </w:r>
      <w:r>
        <w:rPr>
          <w:rFonts w:hint="eastAsia"/>
          <w:lang w:val="zh-CN"/>
        </w:rPr>
        <w:t xml:space="preserve">00 前补充至满足验收签收要求，没有按时按要求配送到位，影响采购人食堂正常开餐的，将对责任供应商进行处罚。</w:t>
      </w:r>
      <w:r/>
    </w:p>
    <w:p>
      <w:pPr>
        <w:ind w:firstLine="420"/>
        <w:jc w:val="left"/>
        <w:spacing w:line="360" w:lineRule="auto"/>
        <w:rPr>
          <w:rFonts w:ascii="宋体" w:hAnsi="宋体" w:cs="宋体"/>
          <w:szCs w:val="21"/>
        </w:rPr>
      </w:pPr>
      <w:r>
        <w:rPr>
          <w:rFonts w:hint="eastAsia" w:ascii="宋体" w:hAnsi="宋体" w:cs="宋体"/>
          <w:szCs w:val="21"/>
        </w:rPr>
        <w:t xml:space="preserve">2、交货地点为甲方食堂人员指定的地点，并按要求摆放整齐。配送费用由乙方承担。乙方送货的运输车辆进入甲方院内，必须接受甲方统一管理，发生任何人员损伤与设施损坏，均由乙方承担责任。</w:t>
      </w:r>
      <w:r/>
    </w:p>
    <w:p>
      <w:pPr>
        <w:ind w:firstLine="420"/>
        <w:jc w:val="left"/>
        <w:spacing w:line="360" w:lineRule="auto"/>
        <w:rPr>
          <w:rFonts w:ascii="宋体" w:hAnsi="宋体" w:cs="宋体"/>
          <w:szCs w:val="21"/>
        </w:rPr>
      </w:pPr>
      <w:r>
        <w:rPr>
          <w:rFonts w:hint="eastAsia" w:ascii="宋体" w:hAnsi="宋体" w:cs="宋体"/>
          <w:szCs w:val="21"/>
        </w:rPr>
        <w:t xml:space="preserve">3、甲方临时增加用餐人员，需乙方临时补充食材或外购食物的，乙方应在临时约定的时间内，无条件把指定要求的食材或食物送至甲方指定的地点。</w:t>
      </w:r>
      <w:r/>
    </w:p>
    <w:p>
      <w:pPr>
        <w:ind w:firstLine="420"/>
        <w:jc w:val="left"/>
        <w:spacing w:line="360" w:lineRule="auto"/>
        <w:widowControl/>
        <w:rPr>
          <w:rFonts w:ascii="宋体" w:hAnsi="宋体" w:cs="宋体"/>
          <w:szCs w:val="21"/>
        </w:rPr>
      </w:pPr>
      <w:r>
        <w:rPr>
          <w:rFonts w:hint="eastAsia" w:ascii="宋体" w:hAnsi="宋体" w:cs="宋体"/>
          <w:szCs w:val="21"/>
        </w:rPr>
        <w:t xml:space="preserve">4、乙方在供货过程中，针对不同食材的烹饪、加工、制作的要求，无偿向甲方食堂工作人员进行指导。</w:t>
      </w:r>
      <w:r/>
    </w:p>
    <w:p>
      <w:pPr>
        <w:jc w:val="left"/>
        <w:spacing w:line="360" w:lineRule="auto"/>
        <w:widowControl/>
        <w:tabs>
          <w:tab w:val="left" w:pos="0" w:leader="none"/>
        </w:tabs>
        <w:rPr>
          <w:rFonts w:ascii="宋体" w:hAnsi="宋体" w:cs="宋体"/>
          <w:szCs w:val="21"/>
        </w:rPr>
      </w:pPr>
      <w:r>
        <w:rPr>
          <w:rFonts w:hint="eastAsia" w:ascii="宋体" w:hAnsi="宋体" w:cs="宋体"/>
          <w:b/>
          <w:szCs w:val="21"/>
        </w:rPr>
        <w:t xml:space="preserve">六、质量保证</w:t>
      </w:r>
      <w:r/>
    </w:p>
    <w:p>
      <w:pPr>
        <w:pStyle w:val="1167"/>
        <w:ind w:left="0" w:firstLine="420"/>
        <w:spacing w:line="360" w:lineRule="auto"/>
        <w:rPr>
          <w:rFonts w:ascii="宋体" w:hAnsi="宋体" w:cs="宋体"/>
          <w:szCs w:val="21"/>
        </w:rPr>
      </w:pPr>
      <w:r>
        <w:rPr>
          <w:rFonts w:hint="eastAsia" w:ascii="宋体" w:hAnsi="宋体" w:cs="宋体"/>
          <w:szCs w:val="21"/>
        </w:rPr>
        <w:t xml:space="preserve">乙方应严格遵守《食品安全法》和《动物检疫法》等相关法律法规规定，严格保证所提供食材货物符合国家相关产品质量标准，和国家及地方各级政府强制性规范要求，拥有“QS”食品质量安全认证，具有动物检验检疫证明，提供残留农药检测达标报告及相应的质量检测报告。所供应的食材货物必须卫生新鲜、质量达标、品种规格准确、数量充足等。</w:t>
      </w:r>
      <w:r/>
    </w:p>
    <w:p>
      <w:pPr>
        <w:jc w:val="left"/>
        <w:spacing w:line="360" w:lineRule="auto"/>
        <w:widowControl/>
        <w:rPr>
          <w:rFonts w:ascii="宋体" w:hAnsi="宋体" w:cs="宋体"/>
          <w:szCs w:val="21"/>
        </w:rPr>
      </w:pPr>
      <w:r>
        <w:rPr>
          <w:rFonts w:hint="eastAsia" w:ascii="宋体" w:hAnsi="宋体" w:cs="宋体"/>
          <w:b/>
          <w:szCs w:val="21"/>
        </w:rPr>
        <w:t xml:space="preserve">七、违约责任：</w:t>
      </w:r>
      <w:r/>
    </w:p>
    <w:p>
      <w:pPr>
        <w:pStyle w:val="1167"/>
        <w:ind w:left="0" w:firstLine="420"/>
        <w:spacing w:line="360" w:lineRule="auto"/>
        <w:rPr>
          <w:rFonts w:ascii="宋体" w:hAnsi="宋体" w:cs="宋体"/>
          <w:szCs w:val="21"/>
        </w:rPr>
      </w:pPr>
      <w:r>
        <w:rPr>
          <w:rFonts w:hint="eastAsia" w:ascii="宋体" w:hAnsi="宋体" w:cs="宋体"/>
          <w:szCs w:val="21"/>
        </w:rPr>
        <w:t xml:space="preserve">1、因供应商未按约定时间，配送不及时导致供应延误的，且未采取补救措施，造成采购人开餐延误等不良影响的，第一次扣除当天供货费用的20%，第二次扣除当天供货费用的40%，第三次扣除当天供货费用的 80%并解除合同。</w:t>
      </w:r>
      <w:r/>
    </w:p>
    <w:p>
      <w:pPr>
        <w:pStyle w:val="1167"/>
        <w:ind w:left="0" w:firstLine="420"/>
        <w:spacing w:line="360" w:lineRule="auto"/>
        <w:rPr>
          <w:rFonts w:ascii="宋体" w:hAnsi="宋体" w:cs="宋体"/>
          <w:szCs w:val="21"/>
        </w:rPr>
      </w:pPr>
      <w:r>
        <w:rPr>
          <w:rFonts w:hint="eastAsia" w:ascii="宋体" w:hAnsi="宋体" w:cs="宋体"/>
          <w:szCs w:val="21"/>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w:t>
      </w:r>
      <w:r/>
    </w:p>
    <w:p>
      <w:pPr>
        <w:pStyle w:val="1167"/>
        <w:ind w:left="0" w:firstLine="420"/>
        <w:spacing w:line="360" w:lineRule="auto"/>
        <w:rPr>
          <w:rFonts w:ascii="宋体" w:hAnsi="宋体" w:cs="宋体"/>
          <w:szCs w:val="21"/>
        </w:rPr>
      </w:pPr>
      <w:r>
        <w:rPr>
          <w:rFonts w:hint="eastAsia" w:ascii="宋体" w:hAnsi="宋体" w:cs="宋体"/>
          <w:szCs w:val="21"/>
        </w:rPr>
        <w:t xml:space="preserve">3、凡供应商向采购人提供的产品发生质量问题，影响食用，经第三方机构检测确定，第一次扣除当天供货费用的20%，第二次扣除当天供货费用的40%，第三次扣除当天供货费用的 80%并解除合同。</w:t>
      </w:r>
      <w:r/>
    </w:p>
    <w:p>
      <w:pPr>
        <w:pStyle w:val="1167"/>
        <w:ind w:left="0" w:firstLine="420"/>
        <w:spacing w:line="360" w:lineRule="auto"/>
        <w:rPr>
          <w:rFonts w:ascii="宋体" w:hAnsi="宋体" w:cs="宋体"/>
          <w:szCs w:val="21"/>
        </w:rPr>
      </w:pPr>
      <w:r>
        <w:rPr>
          <w:rFonts w:hint="eastAsia" w:ascii="宋体" w:hAnsi="宋体" w:cs="宋体"/>
          <w:szCs w:val="21"/>
        </w:rPr>
        <w:t xml:space="preserve">4、不得提供临期产品，如发现此种情况，供货商首先应立即配合采购方的要求更换产品，同时第一次扣除当天供货费用的20%，第二次扣除当天供货费用的40%，第三次扣除当天供货费用的 80%并解除合同。</w:t>
      </w:r>
      <w:r/>
    </w:p>
    <w:p>
      <w:pPr>
        <w:pStyle w:val="1167"/>
        <w:ind w:left="0" w:firstLine="420"/>
        <w:spacing w:line="360" w:lineRule="auto"/>
        <w:rPr>
          <w:rFonts w:ascii="宋体" w:hAnsi="宋体" w:cs="宋体"/>
          <w:szCs w:val="21"/>
        </w:rPr>
      </w:pPr>
      <w:r>
        <w:rPr>
          <w:rFonts w:hint="eastAsia" w:ascii="宋体" w:hAnsi="宋体" w:cs="宋体"/>
          <w:szCs w:val="21"/>
        </w:rPr>
        <w:t xml:space="preserve">5、采购人将定期或不定期地组织专人对供应商所供货物的质量报送质检部门抽检，若发现货物质量检测结果与招标文件或投标文件质量标准不符，采购人有权按总货款的一定比例予以扣款，情节严重的予以解除合同。</w:t>
      </w:r>
      <w:r/>
    </w:p>
    <w:p>
      <w:pPr>
        <w:pStyle w:val="1167"/>
        <w:ind w:left="0" w:firstLine="420"/>
        <w:spacing w:line="360" w:lineRule="auto"/>
        <w:rPr>
          <w:rFonts w:ascii="宋体" w:hAnsi="宋体" w:cs="宋体"/>
          <w:szCs w:val="21"/>
        </w:rPr>
      </w:pPr>
      <w:r>
        <w:rPr>
          <w:rFonts w:hint="eastAsia" w:ascii="宋体" w:hAnsi="宋体" w:cs="宋体"/>
          <w:szCs w:val="21"/>
        </w:rPr>
        <w:t xml:space="preserve">6、凡供应货物故意违规、定量包装批量误差超过相关规定，一经查实，均须按当月总采购量的 3 倍误差值作为支付的违约金。</w:t>
      </w:r>
      <w:r/>
    </w:p>
    <w:p>
      <w:pPr>
        <w:jc w:val="left"/>
        <w:spacing w:line="360" w:lineRule="auto"/>
        <w:tabs>
          <w:tab w:val="left" w:pos="1255" w:leader="none"/>
          <w:tab w:val="left" w:pos="1506" w:leader="none"/>
        </w:tabs>
        <w:rPr>
          <w:rFonts w:ascii="宋体" w:hAnsi="宋体" w:cs="宋体"/>
          <w:b/>
          <w:szCs w:val="21"/>
        </w:rPr>
      </w:pPr>
      <w:r>
        <w:rPr>
          <w:rFonts w:hint="eastAsia" w:ascii="宋体" w:hAnsi="宋体" w:cs="宋体"/>
          <w:b/>
          <w:szCs w:val="21"/>
        </w:rPr>
        <w:t xml:space="preserve">八、争议的解决：</w:t>
      </w:r>
      <w:r/>
    </w:p>
    <w:p>
      <w:pPr>
        <w:ind w:firstLine="420"/>
        <w:jc w:val="left"/>
        <w:spacing w:line="360" w:lineRule="auto"/>
        <w:widowControl/>
        <w:tabs>
          <w:tab w:val="left" w:pos="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因履行本合同其他条款引起的争议，由甲、乙双方先通过友好协商解决，如果协商不能解决争议，可向有管辖权的法院提起诉讼。</w:t>
      </w:r>
      <w:r/>
    </w:p>
    <w:p>
      <w:pPr>
        <w:jc w:val="left"/>
        <w:spacing w:line="360" w:lineRule="auto"/>
        <w:widowControl/>
        <w:tabs>
          <w:tab w:val="left" w:pos="0" w:leader="none"/>
        </w:tabs>
        <w:rPr>
          <w:rFonts w:ascii="宋体" w:hAnsi="宋体" w:cs="宋体"/>
          <w:b/>
          <w:szCs w:val="21"/>
        </w:rPr>
      </w:pPr>
      <w:r>
        <w:rPr>
          <w:rFonts w:hint="eastAsia" w:ascii="宋体" w:hAnsi="宋体" w:cs="宋体"/>
          <w:b/>
          <w:szCs w:val="21"/>
        </w:rPr>
        <w:t xml:space="preserve">九、其他约定：</w:t>
      </w:r>
      <w:r/>
    </w:p>
    <w:p>
      <w:pPr>
        <w:ind w:firstLine="420"/>
        <w:jc w:val="left"/>
        <w:spacing w:line="360" w:lineRule="auto"/>
        <w:widowControl/>
        <w:tabs>
          <w:tab w:val="left" w:pos="0" w:leader="none"/>
        </w:tabs>
        <w:rPr>
          <w:rFonts w:ascii="宋体" w:hAnsi="宋体" w:cs="宋体"/>
          <w:b/>
          <w:szCs w:val="21"/>
        </w:rPr>
      </w:pPr>
      <w:r>
        <w:rPr>
          <w:rFonts w:ascii="宋体" w:hAnsi="宋体" w:cs="宋体"/>
          <w:szCs w:val="21"/>
        </w:rPr>
        <w:t xml:space="preserve">1</w:t>
      </w:r>
      <w:r>
        <w:rPr>
          <w:rFonts w:hint="eastAsia" w:ascii="宋体" w:hAnsi="宋体" w:cs="宋体"/>
          <w:szCs w:val="21"/>
        </w:rPr>
        <w:t xml:space="preserve">、本合同经甲方、乙方授权代表签字盖章后生效。本合同一式陆份，双方各执三份。</w:t>
      </w:r>
      <w:r/>
    </w:p>
    <w:p>
      <w:pPr>
        <w:pStyle w:val="1167"/>
        <w:ind w:left="1260"/>
      </w:pPr>
      <w:r/>
      <w:r/>
    </w:p>
    <w:p>
      <w:pPr>
        <w:ind w:firstLine="420"/>
        <w:jc w:val="left"/>
        <w:spacing w:line="360" w:lineRule="auto"/>
        <w:rPr>
          <w:rFonts w:ascii="宋体" w:hAnsi="宋体" w:cs="宋体"/>
          <w:szCs w:val="21"/>
        </w:rPr>
      </w:pPr>
      <w:r>
        <w:rPr>
          <w:rFonts w:hint="eastAsia" w:ascii="宋体" w:hAnsi="宋体" w:cs="宋体"/>
          <w:szCs w:val="21"/>
        </w:rPr>
        <w:t xml:space="preserve">甲方名称：（盖章）                   乙方名称：（盖章）</w:t>
      </w:r>
      <w:r/>
    </w:p>
    <w:p>
      <w:pPr>
        <w:ind w:firstLine="420"/>
        <w:jc w:val="left"/>
        <w:spacing w:line="360" w:lineRule="auto"/>
        <w:rPr>
          <w:rFonts w:ascii="宋体" w:hAnsi="宋体" w:cs="宋体"/>
          <w:szCs w:val="21"/>
        </w:rPr>
      </w:pPr>
      <w:r>
        <w:rPr>
          <w:rFonts w:hint="eastAsia" w:ascii="宋体" w:hAnsi="宋体" w:cs="宋体"/>
          <w:szCs w:val="21"/>
        </w:rPr>
        <w:t xml:space="preserve">法定代表人 ：                        法定代表人：</w:t>
      </w:r>
      <w:r/>
    </w:p>
    <w:p>
      <w:r>
        <w:rPr>
          <w:rFonts w:hint="eastAsia"/>
        </w:rPr>
        <w:t xml:space="preserve">    时间：                               时间：</w:t>
      </w:r>
      <w:r/>
    </w:p>
    <w:p>
      <w:pPr>
        <w:pStyle w:val="1157"/>
      </w:pPr>
      <w:r/>
      <w:r/>
    </w:p>
    <w:p>
      <w:pPr>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spacing w:line="440" w:lineRule="exact"/>
        <w:rPr>
          <w:rFonts w:ascii="微软雅黑" w:hAnsi="微软雅黑" w:cs="微软雅黑"/>
        </w:rPr>
      </w:pPr>
      <w:r>
        <w:rPr>
          <w:rFonts w:ascii="微软雅黑" w:hAnsi="微软雅黑" w:cs="微软雅黑"/>
        </w:rPr>
      </w:r>
      <w:r/>
    </w:p>
    <w:p>
      <w:pPr>
        <w:ind w:left="489" w:hanging="420"/>
        <w:spacing w:line="360" w:lineRule="auto"/>
        <w:rPr>
          <w:rFonts w:ascii="微软雅黑" w:hAnsi="微软雅黑" w:cs="微软雅黑"/>
          <w:bCs/>
          <w:color w:val="000000"/>
          <w:szCs w:val="21"/>
        </w:rPr>
      </w:pPr>
      <w:r>
        <w:rPr>
          <w:rFonts w:ascii="微软雅黑" w:hAnsi="微软雅黑" w:cs="微软雅黑"/>
          <w:bCs/>
          <w:color w:val="000000"/>
          <w:szCs w:val="21"/>
        </w:rPr>
      </w:r>
      <w:r/>
    </w:p>
    <w:p>
      <w:pPr>
        <w:spacing w:line="360" w:lineRule="auto"/>
        <w:rPr>
          <w:rFonts w:ascii="微软雅黑" w:hAnsi="微软雅黑" w:cs="微软雅黑"/>
          <w:bCs/>
          <w:color w:val="000000"/>
          <w:szCs w:val="21"/>
        </w:rPr>
      </w:pPr>
      <w:r>
        <w:rPr>
          <w:rFonts w:ascii="微软雅黑" w:hAnsi="微软雅黑" w:cs="微软雅黑"/>
          <w:bCs/>
          <w:color w:val="000000"/>
          <w:szCs w:val="21"/>
        </w:rPr>
      </w:r>
      <w:r/>
    </w:p>
    <w:p>
      <w:pPr>
        <w:jc w:val="left"/>
        <w:widowControl/>
        <w:rPr>
          <w:rStyle w:val="1542"/>
          <w:rFonts w:ascii="微软雅黑" w:hAnsi="微软雅黑" w:cs="微软雅黑"/>
          <w:bCs/>
          <w:szCs w:val="21"/>
        </w:rPr>
        <w:sectPr>
          <w:footnotePr/>
          <w:endnotePr/>
          <w:type w:val="nextPage"/>
          <w:pgSz w:w="11906" w:h="16838" w:orient="portrait"/>
          <w:pgMar w:top="1440" w:right="1803" w:bottom="1440" w:left="1803" w:header="851" w:footer="992" w:gutter="0"/>
          <w:cols w:num="1" w:sep="0" w:space="0" w:equalWidth="1"/>
          <w:docGrid w:linePitch="360"/>
        </w:sectPr>
      </w:pPr>
      <w:r>
        <w:rPr>
          <w:rFonts w:ascii="微软雅黑" w:hAnsi="微软雅黑" w:cs="微软雅黑"/>
          <w:bCs/>
          <w:szCs w:val="21"/>
        </w:rPr>
      </w:r>
      <w:r/>
    </w:p>
    <w:p>
      <w:pPr>
        <w:pStyle w:val="1348"/>
        <w:rPr>
          <w:rFonts w:ascii="微软雅黑" w:hAnsi="微软雅黑" w:cs="微软雅黑"/>
          <w:szCs w:val="32"/>
        </w:rPr>
      </w:pPr>
      <w:r/>
      <w:bookmarkStart w:id="417" w:name="_Toc51"/>
      <w:r>
        <w:rPr>
          <w:rFonts w:hint="eastAsia" w:ascii="微软雅黑" w:hAnsi="微软雅黑" w:cs="微软雅黑"/>
        </w:rPr>
        <w:t xml:space="preserve">第六章 投标文件格式</w:t>
      </w:r>
      <w:r>
        <w:rPr>
          <w:rFonts w:hint="eastAsia" w:ascii="微软雅黑" w:hAnsi="微软雅黑" w:cs="微软雅黑"/>
        </w:rPr>
        <w:t xml:space="preserve">及附件</w:t>
      </w:r>
      <w:bookmarkEnd w:id="417"/>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5"/>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366"/>
        <w:numPr>
          <w:ilvl w:val="0"/>
          <w:numId w:val="15"/>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15"/>
        </w:numPr>
        <w:ind w:hanging="205"/>
        <w:spacing w:line="400" w:lineRule="exact"/>
        <w:rPr>
          <w:szCs w:val="21"/>
        </w:rPr>
      </w:pPr>
      <w:r>
        <w:rPr>
          <w:rFonts w:hint="eastAsia"/>
          <w:szCs w:val="21"/>
        </w:rPr>
        <w:t xml:space="preserve">供应商提交的材料不予退还。</w:t>
      </w:r>
      <w:r/>
    </w:p>
    <w:p>
      <w:pPr>
        <w:pStyle w:val="1366"/>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项目编号：</w:t>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36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b/>
          <w:bCs/>
          <w:sz w:val="28"/>
          <w:szCs w:val="28"/>
        </w:rPr>
      </w:pPr>
      <w:r>
        <w:rPr>
          <w:rFonts w:hint="eastAsia" w:ascii="微软雅黑" w:hAnsi="微软雅黑" w:cs="微软雅黑"/>
          <w:b/>
          <w:bCs/>
          <w:sz w:val="28"/>
          <w:szCs w:val="28"/>
        </w:rPr>
        <w:br w:type="page" w:clear="all"/>
      </w:r>
      <w:r/>
    </w:p>
    <w:p>
      <w:pPr>
        <w:pStyle w:val="1167"/>
        <w:ind w:left="0"/>
        <w:jc w:val="center"/>
        <w:rPr>
          <w:rFonts w:ascii="微软雅黑" w:hAnsi="微软雅黑" w:cs="微软雅黑"/>
          <w:b/>
          <w:bCs/>
          <w:sz w:val="28"/>
          <w:szCs w:val="28"/>
        </w:rPr>
      </w:pPr>
      <w:r>
        <w:rPr>
          <w:rFonts w:hint="eastAsia" w:ascii="微软雅黑" w:hAnsi="微软雅黑" w:cs="微软雅黑"/>
          <w:b/>
          <w:bCs/>
          <w:sz w:val="28"/>
          <w:szCs w:val="28"/>
        </w:rPr>
        <w:t xml:space="preserve">资格审查索引表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p>
    <w:tbl>
      <w:tblPr>
        <w:tblStyle w:val="115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116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jc w:val="center"/>
        <w:spacing w:line="420" w:lineRule="exact"/>
        <w:widowControl/>
        <w:rPr>
          <w:rFonts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p>
    <w:tbl>
      <w:tblPr>
        <w:tblStyle w:val="115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147"/>
        <w:jc w:val="center"/>
        <w:rPr>
          <w:rFonts w:ascii="微软雅黑" w:hAnsi="微软雅黑" w:eastAsia="微软雅黑" w:cs="微软雅黑"/>
          <w:b/>
          <w:bCs/>
          <w:sz w:val="28"/>
          <w:szCs w:val="32"/>
        </w:rPr>
      </w:pPr>
      <w:r/>
      <w:bookmarkStart w:id="418" w:name="_Toc52"/>
      <w:r>
        <w:rPr>
          <w:rFonts w:hint="eastAsia" w:ascii="微软雅黑" w:hAnsi="微软雅黑" w:cs="微软雅黑"/>
        </w:rPr>
        <w:br w:type="page" w:clear="all"/>
      </w:r>
      <w:r>
        <w:rPr>
          <w:rFonts w:hint="eastAsia" w:ascii="微软雅黑" w:hAnsi="微软雅黑" w:eastAsia="微软雅黑" w:cs="微软雅黑"/>
          <w:b/>
          <w:bCs/>
          <w:sz w:val="28"/>
          <w:szCs w:val="32"/>
        </w:rPr>
        <w:t xml:space="preserve">一、投标函、投标报价及项目相关文件</w:t>
      </w:r>
      <w:bookmarkEnd w:id="418"/>
      <w:r/>
      <w:r/>
    </w:p>
    <w:p>
      <w:pPr>
        <w:pStyle w:val="1148"/>
        <w:jc w:val="center"/>
        <w:rPr>
          <w:rFonts w:ascii="微软雅黑" w:hAnsi="微软雅黑" w:eastAsia="微软雅黑" w:cs="微软雅黑"/>
          <w:b/>
          <w:sz w:val="24"/>
          <w:szCs w:val="24"/>
        </w:rPr>
      </w:pPr>
      <w:r/>
      <w:bookmarkStart w:id="419" w:name="_Toc53"/>
      <w:r>
        <w:rPr>
          <w:rFonts w:hint="eastAsia" w:ascii="微软雅黑" w:hAnsi="微软雅黑" w:eastAsia="微软雅黑" w:cs="微软雅黑"/>
          <w:b/>
          <w:sz w:val="24"/>
          <w:szCs w:val="24"/>
        </w:rPr>
        <w:t xml:space="preserve">1.投标函</w:t>
      </w:r>
      <w:bookmarkEnd w:id="419"/>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p>
    <w:p>
      <w:pPr>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p>
    <w:p>
      <w:pPr>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p>
    <w:p>
      <w:pPr>
        <w:ind w:firstLine="420"/>
        <w:spacing w:line="440" w:lineRule="exact"/>
        <w:rPr>
          <w:rFonts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p>
    <w:p>
      <w:pPr>
        <w:spacing w:line="440" w:lineRule="exact"/>
        <w:rPr>
          <w:rFonts w:ascii="微软雅黑" w:hAnsi="微软雅黑" w:cs="微软雅黑"/>
        </w:rPr>
      </w:pPr>
      <w:r>
        <w:rPr>
          <w:rFonts w:ascii="微软雅黑" w:hAnsi="微软雅黑" w:cs="微软雅黑"/>
        </w:rPr>
      </w:r>
      <w:r/>
    </w:p>
    <w:p>
      <w:pPr>
        <w:ind w:firstLine="2520"/>
        <w:spacing w:line="440" w:lineRule="exact"/>
        <w:rPr>
          <w:rFonts w:ascii="微软雅黑" w:hAnsi="微软雅黑" w:cs="微软雅黑"/>
        </w:rPr>
      </w:pPr>
      <w:r>
        <w:rPr>
          <w:rFonts w:hint="eastAsia" w:ascii="微软雅黑" w:hAnsi="微软雅黑" w:cs="微软雅黑"/>
        </w:rPr>
        <w:t xml:space="preserve">供应商全称（公章）：                </w:t>
      </w:r>
      <w:r/>
    </w:p>
    <w:p>
      <w:pPr>
        <w:spacing w:line="440" w:lineRule="exact"/>
        <w:rPr>
          <w:rFonts w:ascii="微软雅黑" w:hAnsi="微软雅黑" w:cs="微软雅黑"/>
        </w:rPr>
      </w:pPr>
      <w:r>
        <w:rPr>
          <w:rFonts w:hint="eastAsia" w:ascii="微软雅黑" w:hAnsi="微软雅黑" w:cs="微软雅黑"/>
        </w:rPr>
        <w:t xml:space="preserve">                        地址：                 </w:t>
      </w:r>
      <w:r/>
    </w:p>
    <w:p>
      <w:pPr>
        <w:spacing w:line="440" w:lineRule="exact"/>
        <w:rPr>
          <w:rFonts w:ascii="微软雅黑" w:hAnsi="微软雅黑" w:cs="微软雅黑"/>
        </w:rPr>
      </w:pPr>
      <w:r>
        <w:rPr>
          <w:rFonts w:hint="eastAsia" w:ascii="微软雅黑" w:hAnsi="微软雅黑" w:cs="微软雅黑"/>
        </w:rPr>
        <w:t xml:space="preserve">                        电话：              </w:t>
      </w:r>
      <w:r/>
    </w:p>
    <w:p>
      <w:pPr>
        <w:spacing w:line="440" w:lineRule="exact"/>
        <w:rPr>
          <w:rFonts w:ascii="微软雅黑" w:hAnsi="微软雅黑" w:cs="微软雅黑"/>
        </w:rPr>
      </w:pPr>
      <w:r>
        <w:rPr>
          <w:rFonts w:hint="eastAsia" w:ascii="微软雅黑" w:hAnsi="微软雅黑" w:cs="微软雅黑"/>
        </w:rPr>
        <w:t xml:space="preserve">                        法定代表人（授权代表）（签字/盖章）：                   </w:t>
      </w:r>
      <w:r/>
    </w:p>
    <w:p>
      <w:pPr>
        <w:spacing w:line="440" w:lineRule="exact"/>
        <w:rPr>
          <w:rFonts w:ascii="微软雅黑" w:hAnsi="微软雅黑" w:cs="微软雅黑"/>
        </w:rPr>
      </w:pPr>
      <w:r>
        <w:rPr>
          <w:rFonts w:hint="eastAsia" w:ascii="微软雅黑" w:hAnsi="微软雅黑" w:cs="微软雅黑"/>
        </w:rPr>
        <w:t xml:space="preserve">                        职务：                  </w:t>
      </w:r>
      <w:r/>
    </w:p>
    <w:p>
      <w:pPr>
        <w:spacing w:line="440" w:lineRule="exact"/>
        <w:rPr>
          <w:rFonts w:ascii="微软雅黑" w:hAnsi="微软雅黑" w:cs="微软雅黑"/>
        </w:rPr>
      </w:pPr>
      <w:r>
        <w:rPr>
          <w:rFonts w:hint="eastAsia" w:ascii="微软雅黑" w:hAnsi="微软雅黑" w:cs="微软雅黑"/>
        </w:rPr>
        <w:t xml:space="preserve">                        日期：       </w:t>
      </w:r>
      <w:r/>
    </w:p>
    <w:p>
      <w:pPr>
        <w:rPr>
          <w:rFonts w:ascii="微软雅黑" w:hAnsi="微软雅黑" w:cs="微软雅黑"/>
        </w:rPr>
      </w:pPr>
      <w:r>
        <w:rPr>
          <w:rFonts w:ascii="微软雅黑" w:hAnsi="微软雅黑" w:cs="微软雅黑"/>
        </w:rPr>
      </w:r>
      <w:r/>
    </w:p>
    <w:p>
      <w:pPr>
        <w:shd w:val="nil" w:color="auto"/>
        <w:rPr>
          <w:rFonts w:ascii="微软雅黑" w:hAnsi="微软雅黑" w:eastAsia="微软雅黑" w:cs="微软雅黑"/>
          <w:b/>
          <w:bCs/>
          <w:sz w:val="24"/>
          <w:szCs w:val="24"/>
        </w:rPr>
      </w:pPr>
      <w:r>
        <w:rPr>
          <w:highlight w:val="none"/>
        </w:rPr>
        <w:br w:type="page" w:clear="all"/>
      </w:r>
      <w:r>
        <w:rPr>
          <w:highlight w:val="none"/>
        </w:rPr>
      </w:r>
      <w:r/>
    </w:p>
    <w:p>
      <w:pPr>
        <w:pStyle w:val="1148"/>
        <w:jc w:val="center"/>
        <w:rPr>
          <w:highlight w:val="none"/>
        </w:rPr>
      </w:pPr>
      <w:r/>
      <w:bookmarkStart w:id="420" w:name="_Toc54"/>
      <w:r>
        <w:rPr>
          <w:rFonts w:hint="eastAsia" w:ascii="微软雅黑" w:hAnsi="微软雅黑" w:eastAsia="微软雅黑" w:cs="微软雅黑"/>
          <w:b/>
          <w:sz w:val="24"/>
          <w:szCs w:val="24"/>
        </w:rPr>
        <w:t xml:space="preserve">2.开标一览表</w:t>
      </w:r>
      <w:bookmarkEnd w:id="420"/>
      <w:r/>
      <w:r/>
    </w:p>
    <w:tbl>
      <w:tblPr>
        <w:tblStyle w:val="11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投标优惠率</w:t>
            </w:r>
            <w:r/>
          </w:p>
          <w:p>
            <w:pPr>
              <w:jc w:val="center"/>
              <w:rPr>
                <w:rFonts w:hint="eastAsia" w:ascii="微软雅黑" w:hAnsi="微软雅黑" w:eastAsia="微软雅黑" w:cs="微软雅黑"/>
                <w:lang w:eastAsia="zh-CN"/>
              </w:rPr>
            </w:pPr>
            <w:r>
              <w:rPr>
                <w:rFonts w:hint="eastAsia" w:ascii="微软雅黑" w:hAnsi="微软雅黑" w:cs="微软雅黑"/>
                <w:lang w:eastAsia="zh-CN"/>
              </w:rPr>
              <w:t xml:space="preserve">（下浮率）</w:t>
            </w:r>
            <w:r/>
          </w:p>
        </w:tc>
        <w:tc>
          <w:tcPr>
            <w:tcW w:w="5898" w:type="dxa"/>
            <w:vAlign w:val="center"/>
            <w:textDirection w:val="lrTb"/>
            <w:noWrap w:val="false"/>
          </w:tcPr>
          <w:p>
            <w:pPr>
              <w:pStyle w:val="1167"/>
              <w:ind w:left="0"/>
              <w:rPr>
                <w:rFonts w:ascii="微软雅黑" w:hAnsi="微软雅黑" w:cs="微软雅黑"/>
              </w:rPr>
            </w:pPr>
            <w:r>
              <w:rPr>
                <w:rFonts w:hint="eastAsia" w:ascii="微软雅黑" w:hAnsi="微软雅黑" w:cs="微软雅黑"/>
                <w:u w:val="single"/>
              </w:rPr>
              <w:t xml:space="preserve">             %</w:t>
            </w:r>
            <w:r/>
          </w:p>
        </w:tc>
      </w:tr>
    </w:tbl>
    <w:p>
      <w:pPr>
        <w:spacing w:before="4" w:line="420" w:lineRule="exact"/>
        <w:widowControl/>
        <w:rPr>
          <w:rFonts w:ascii="微软雅黑" w:hAnsi="微软雅黑" w:cs="微软雅黑"/>
          <w:sz w:val="24"/>
          <w:szCs w:val="24"/>
        </w:rPr>
      </w:pPr>
      <w:r>
        <w:rPr>
          <w:rFonts w:ascii="微软雅黑" w:hAnsi="微软雅黑" w:cs="微软雅黑"/>
          <w:sz w:val="24"/>
          <w:szCs w:val="24"/>
        </w:rPr>
      </w:r>
      <w:r/>
    </w:p>
    <w:p>
      <w:pPr>
        <w:rPr>
          <w:rFonts w:ascii="微软雅黑" w:hAnsi="微软雅黑" w:cs="微软雅黑"/>
        </w:rPr>
      </w:pPr>
      <w:r>
        <w:rPr>
          <w:rFonts w:hint="eastAsia" w:ascii="微软雅黑" w:hAnsi="微软雅黑" w:cs="微软雅黑"/>
        </w:rPr>
        <w:t xml:space="preserve">供应商全称（公章）：        </w:t>
      </w:r>
      <w:r/>
    </w:p>
    <w:p>
      <w:pPr>
        <w:rPr>
          <w:rFonts w:ascii="微软雅黑" w:hAnsi="微软雅黑" w:cs="微软雅黑"/>
        </w:rPr>
      </w:pPr>
      <w:r>
        <w:rPr>
          <w:rFonts w:hint="eastAsia" w:ascii="微软雅黑" w:hAnsi="微软雅黑" w:cs="微软雅黑"/>
        </w:rPr>
        <w:t xml:space="preserve">法定代表人（授权代表）（签字/盖章）：    </w:t>
      </w:r>
      <w:r/>
    </w:p>
    <w:p>
      <w:pPr>
        <w:pStyle w:val="1167"/>
        <w:ind w:left="0"/>
        <w:rPr>
          <w:rFonts w:ascii="微软雅黑" w:hAnsi="微软雅黑" w:cs="微软雅黑"/>
        </w:rPr>
      </w:pPr>
      <w:r>
        <w:rPr>
          <w:rFonts w:hint="eastAsia" w:ascii="微软雅黑" w:hAnsi="微软雅黑" w:cs="微软雅黑"/>
        </w:rPr>
        <w:t xml:space="preserve">日期：</w:t>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p>
    <w:p>
      <w:pPr>
        <w:pStyle w:val="1167"/>
        <w:ind w:left="0" w:firstLine="360"/>
        <w:spacing w:line="360" w:lineRule="exact"/>
        <w:rPr>
          <w:rFonts w:ascii="微软雅黑" w:hAnsi="微软雅黑" w:cs="微软雅黑"/>
          <w:b/>
          <w:bCs/>
          <w:sz w:val="18"/>
          <w:szCs w:val="18"/>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r/>
    </w:p>
    <w:p>
      <w:pPr>
        <w:ind w:firstLine="360"/>
        <w:spacing w:line="360" w:lineRule="exact"/>
        <w:rPr>
          <w:rFonts w:ascii="微软雅黑" w:hAnsi="微软雅黑" w:cs="微软雅黑"/>
          <w:sz w:val="18"/>
          <w:szCs w:val="18"/>
        </w:rPr>
      </w:pPr>
      <w:r>
        <w:rPr>
          <w:rFonts w:ascii="微软雅黑" w:hAnsi="微软雅黑" w:cs="微软雅黑"/>
          <w:sz w:val="18"/>
          <w:szCs w:val="18"/>
        </w:rPr>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spacing w:line="420" w:lineRule="exact"/>
        <w:rPr>
          <w:rFonts w:ascii="微软雅黑" w:hAnsi="微软雅黑" w:cs="微软雅黑"/>
          <w:sz w:val="18"/>
          <w:szCs w:val="18"/>
        </w:rPr>
      </w:pPr>
      <w:r>
        <w:rPr>
          <w:rFonts w:ascii="微软雅黑" w:hAnsi="微软雅黑" w:cs="微软雅黑"/>
          <w:sz w:val="18"/>
          <w:szCs w:val="18"/>
        </w:rPr>
      </w:r>
      <w:r/>
    </w:p>
    <w:p>
      <w:pPr>
        <w:pStyle w:val="1167"/>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rPr>
      </w:pPr>
      <w:r>
        <w:rPr>
          <w:rFonts w:ascii="微软雅黑" w:hAnsi="微软雅黑" w:cs="微软雅黑"/>
        </w:rPr>
      </w:r>
      <w:r/>
    </w:p>
    <w:p>
      <w:pPr>
        <w:rPr>
          <w:rFonts w:ascii="微软雅黑" w:hAnsi="微软雅黑" w:cs="微软雅黑"/>
          <w:sz w:val="18"/>
          <w:szCs w:val="18"/>
        </w:rPr>
      </w:pPr>
      <w:r>
        <w:rPr>
          <w:rFonts w:ascii="微软雅黑" w:hAnsi="微软雅黑" w:cs="微软雅黑"/>
          <w:sz w:val="18"/>
          <w:szCs w:val="18"/>
        </w:rPr>
      </w:r>
      <w:r/>
    </w:p>
    <w:p>
      <w:pPr>
        <w:pStyle w:val="1167"/>
        <w:ind w:left="1260"/>
        <w:rPr>
          <w:rFonts w:ascii="微软雅黑" w:hAnsi="微软雅黑" w:cs="微软雅黑"/>
        </w:rPr>
      </w:pPr>
      <w:r>
        <w:rPr>
          <w:rFonts w:ascii="微软雅黑" w:hAnsi="微软雅黑" w:cs="微软雅黑"/>
        </w:rPr>
      </w:r>
      <w:r/>
    </w:p>
    <w:p>
      <w:pPr>
        <w:pStyle w:val="1167"/>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rPr>
      </w:pPr>
      <w:r>
        <w:rPr>
          <w:rFonts w:ascii="微软雅黑" w:hAnsi="微软雅黑" w:cs="微软雅黑"/>
        </w:rPr>
      </w:r>
      <w:r/>
    </w:p>
    <w:p>
      <w:pPr>
        <w:numPr>
          <w:ilvl w:val="0"/>
          <w:numId w:val="16"/>
        </w:numPr>
        <w:ind w:left="0" w:firstLine="0"/>
        <w:jc w:val="left"/>
        <w:spacing w:line="360" w:lineRule="exact"/>
        <w:tabs>
          <w:tab w:val="left" w:pos="220" w:leader="none"/>
        </w:tabs>
        <w:rPr>
          <w:rFonts w:ascii="微软雅黑" w:hAnsi="微软雅黑" w:cs="微软雅黑"/>
          <w:b/>
          <w:bCs/>
          <w:sz w:val="18"/>
          <w:szCs w:val="18"/>
        </w:rPr>
      </w:pPr>
      <w:r>
        <w:rPr>
          <w:rFonts w:hint="eastAsia" w:ascii="微软雅黑" w:hAnsi="微软雅黑" w:cs="微软雅黑"/>
          <w:b/>
          <w:sz w:val="24"/>
          <w:szCs w:val="24"/>
        </w:rPr>
        <w:br w:type="page" w:clear="all"/>
      </w:r>
      <w:r/>
    </w:p>
    <w:p>
      <w:pPr>
        <w:pStyle w:val="1148"/>
        <w:jc w:val="center"/>
        <w:spacing w:before="260" w:after="260" w:line="416" w:lineRule="auto"/>
        <w:rPr>
          <w:rFonts w:ascii="微软雅黑" w:hAnsi="微软雅黑" w:eastAsia="微软雅黑" w:cs="微软雅黑"/>
          <w:b/>
          <w:bCs/>
          <w:sz w:val="24"/>
          <w:szCs w:val="24"/>
        </w:rPr>
      </w:pPr>
      <w:r/>
      <w:bookmarkStart w:id="421" w:name="_Toc55"/>
      <w:r>
        <w:rPr>
          <w:rFonts w:hint="eastAsia" w:ascii="微软雅黑" w:hAnsi="微软雅黑" w:eastAsia="微软雅黑" w:cs="微软雅黑"/>
          <w:b/>
          <w:bCs/>
          <w:sz w:val="24"/>
          <w:szCs w:val="24"/>
        </w:rPr>
        <w:t xml:space="preserve">3.技术要求响应表</w:t>
      </w:r>
      <w:bookmarkEnd w:id="421"/>
      <w:r/>
      <w:r/>
    </w:p>
    <w:tbl>
      <w:tblPr>
        <w:tblStyle w:val="1156"/>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172"/>
        <w:gridCol w:w="2170"/>
        <w:gridCol w:w="1851"/>
        <w:gridCol w:w="1851"/>
      </w:tblGrid>
      <w:tr>
        <w:trPr>
          <w:jc w:val="center"/>
          <w:trHeight w:val="1193"/>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ascii="微软雅黑" w:hAnsi="微软雅黑" w:cs="微软雅黑"/>
              </w:rPr>
            </w:pPr>
            <w:r>
              <w:rPr>
                <w:rFonts w:hint="eastAsia" w:ascii="微软雅黑" w:hAnsi="微软雅黑" w:cs="微软雅黑"/>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ascii="微软雅黑" w:hAnsi="微软雅黑" w:cs="微软雅黑"/>
              </w:rPr>
            </w:pPr>
            <w:r>
              <w:rPr>
                <w:rFonts w:hint="eastAsia" w:ascii="微软雅黑" w:hAnsi="微软雅黑" w:cs="微软雅黑"/>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ascii="微软雅黑" w:hAnsi="微软雅黑" w:cs="微软雅黑"/>
              </w:rPr>
            </w:pPr>
            <w:r>
              <w:rPr>
                <w:rFonts w:hint="eastAsia" w:ascii="微软雅黑" w:hAnsi="微软雅黑" w:cs="微软雅黑"/>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hint="eastAsia" w:ascii="微软雅黑" w:hAnsi="微软雅黑" w:cs="微软雅黑"/>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hint="eastAsia" w:ascii="微软雅黑" w:hAnsi="微软雅黑" w:cs="微软雅黑"/>
              </w:rPr>
              <w:t xml:space="preserve">证明材料所在页</w:t>
            </w:r>
            <w:r/>
          </w:p>
        </w:tc>
      </w:tr>
      <w:tr>
        <w:trPr>
          <w:jc w:val="center"/>
          <w:trHeight w:val="767"/>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ascii="微软雅黑" w:hAnsi="微软雅黑" w:cs="微软雅黑"/>
              </w:rPr>
            </w:r>
            <w:r/>
          </w:p>
        </w:tc>
      </w:tr>
      <w:tr>
        <w:trPr>
          <w:jc w:val="center"/>
          <w:trHeight w:val="612"/>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ascii="微软雅黑" w:hAnsi="微软雅黑" w:cs="微软雅黑"/>
              </w:rPr>
            </w:r>
            <w:r/>
          </w:p>
        </w:tc>
      </w:tr>
      <w:tr>
        <w:trPr>
          <w:jc w:val="center"/>
          <w:trHeight w:val="645"/>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ascii="微软雅黑" w:hAnsi="微软雅黑" w:cs="微软雅黑"/>
              </w:rPr>
            </w:pPr>
            <w:r>
              <w:rPr>
                <w:rFonts w:ascii="微软雅黑" w:hAnsi="微软雅黑" w:cs="微软雅黑"/>
              </w:rPr>
            </w:r>
            <w:r/>
          </w:p>
        </w:tc>
      </w:tr>
    </w:tbl>
    <w:p>
      <w:pPr>
        <w:rPr>
          <w:rFonts w:ascii="微软雅黑" w:hAnsi="微软雅黑" w:cs="微软雅黑"/>
        </w:rPr>
      </w:pPr>
      <w:r>
        <w:rPr>
          <w:rFonts w:hint="eastAsia" w:ascii="微软雅黑" w:hAnsi="微软雅黑" w:cs="微软雅黑"/>
        </w:rPr>
        <w:t xml:space="preserve">供应商全称（公章）：        </w:t>
      </w:r>
      <w:r/>
    </w:p>
    <w:p>
      <w:pPr>
        <w:rPr>
          <w:rFonts w:ascii="微软雅黑" w:hAnsi="微软雅黑" w:cs="微软雅黑"/>
        </w:rPr>
      </w:pPr>
      <w:r>
        <w:rPr>
          <w:rFonts w:hint="eastAsia" w:ascii="微软雅黑" w:hAnsi="微软雅黑" w:cs="微软雅黑"/>
        </w:rPr>
        <w:t xml:space="preserve">法定代表人（授权代表）（签字/盖章）：   </w:t>
      </w:r>
      <w:r/>
    </w:p>
    <w:p>
      <w:pPr>
        <w:pStyle w:val="1167"/>
        <w:ind w:left="0"/>
        <w:rPr>
          <w:rFonts w:ascii="微软雅黑" w:hAnsi="微软雅黑" w:cs="微软雅黑"/>
        </w:rPr>
      </w:pPr>
      <w:r>
        <w:rPr>
          <w:rFonts w:hint="eastAsia" w:ascii="微软雅黑" w:hAnsi="微软雅黑" w:cs="微软雅黑"/>
        </w:rPr>
        <w:t xml:space="preserve">日期：</w:t>
      </w:r>
      <w:r/>
    </w:p>
    <w:p>
      <w:pPr>
        <w:ind w:firstLine="140"/>
        <w:spacing w:line="420" w:lineRule="exact"/>
        <w:rPr>
          <w:rFonts w:ascii="微软雅黑" w:hAnsi="微软雅黑" w:cs="微软雅黑"/>
          <w:sz w:val="28"/>
        </w:rPr>
      </w:pPr>
      <w:r>
        <w:rPr>
          <w:rFonts w:ascii="微软雅黑" w:hAnsi="微软雅黑" w:cs="微软雅黑"/>
          <w:sz w:val="28"/>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p>
    <w:p>
      <w:pPr>
        <w:numPr>
          <w:ilvl w:val="3"/>
          <w:numId w:val="17"/>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17"/>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p>
    <w:p>
      <w:pPr>
        <w:numPr>
          <w:ilvl w:val="3"/>
          <w:numId w:val="17"/>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17"/>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p>
    <w:p>
      <w:pPr>
        <w:numPr>
          <w:ilvl w:val="3"/>
          <w:numId w:val="17"/>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p>
    <w:p>
      <w:pPr>
        <w:pStyle w:val="1167"/>
        <w:ind w:left="1260"/>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167"/>
        <w:ind w:left="0"/>
        <w:rPr>
          <w:rFonts w:ascii="微软雅黑" w:hAnsi="微软雅黑" w:cs="微软雅黑"/>
        </w:rPr>
      </w:pPr>
      <w:r>
        <w:rPr>
          <w:rFonts w:ascii="微软雅黑" w:hAnsi="微软雅黑" w:cs="微软雅黑"/>
        </w:rPr>
      </w:r>
      <w:r/>
    </w:p>
    <w:p>
      <w:pPr>
        <w:pStyle w:val="1148"/>
        <w:rPr>
          <w:rFonts w:ascii="微软雅黑" w:hAnsi="微软雅黑" w:eastAsia="微软雅黑" w:cs="微软雅黑"/>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ascii="微软雅黑" w:hAnsi="微软雅黑" w:eastAsia="微软雅黑" w:cs="微软雅黑"/>
        </w:rPr>
      </w:r>
      <w:r/>
    </w:p>
    <w:p>
      <w:pPr>
        <w:pStyle w:val="1148"/>
        <w:jc w:val="center"/>
        <w:spacing w:before="260" w:after="260" w:line="416" w:lineRule="auto"/>
        <w:rPr>
          <w:rFonts w:ascii="微软雅黑" w:hAnsi="微软雅黑" w:eastAsia="微软雅黑" w:cs="微软雅黑"/>
          <w:b/>
          <w:sz w:val="24"/>
          <w:szCs w:val="24"/>
        </w:rPr>
      </w:pPr>
      <w:r/>
      <w:bookmarkStart w:id="422" w:name="_Toc56"/>
      <w:r>
        <w:rPr>
          <w:rFonts w:hint="eastAsia" w:ascii="微软雅黑" w:hAnsi="微软雅黑" w:eastAsia="微软雅黑" w:cs="微软雅黑"/>
          <w:b/>
          <w:sz w:val="24"/>
          <w:szCs w:val="24"/>
        </w:rPr>
        <w:t xml:space="preserve">4.商务要求响应表</w:t>
      </w:r>
      <w:bookmarkEnd w:id="422"/>
      <w:r/>
      <w:r/>
    </w:p>
    <w:tbl>
      <w:tblPr>
        <w:tblStyle w:val="115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偏离</w:t>
            </w:r>
            <w:r/>
          </w:p>
          <w:p>
            <w:pPr>
              <w:jc w:val="center"/>
              <w:rPr>
                <w:rFonts w:ascii="微软雅黑" w:hAnsi="微软雅黑" w:cs="微软雅黑"/>
                <w:b/>
                <w:bCs/>
              </w:rPr>
            </w:pPr>
            <w:r>
              <w:rPr>
                <w:rFonts w:hint="eastAsia" w:ascii="微软雅黑" w:hAnsi="微软雅黑" w:cs="微软雅黑"/>
                <w:b/>
                <w:bCs/>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bl>
    <w:p>
      <w:pPr>
        <w:rPr>
          <w:rFonts w:ascii="微软雅黑" w:hAnsi="微软雅黑" w:cs="微软雅黑"/>
        </w:rPr>
      </w:pPr>
      <w:r>
        <w:rPr>
          <w:rFonts w:hint="eastAsia" w:ascii="微软雅黑" w:hAnsi="微软雅黑" w:cs="微软雅黑"/>
        </w:rPr>
        <w:t xml:space="preserve">供应商全称（公章）：        </w:t>
      </w:r>
      <w:r/>
    </w:p>
    <w:p>
      <w:pPr>
        <w:rPr>
          <w:rFonts w:ascii="微软雅黑" w:hAnsi="微软雅黑" w:cs="微软雅黑"/>
        </w:rPr>
      </w:pPr>
      <w:r>
        <w:rPr>
          <w:rFonts w:hint="eastAsia" w:ascii="微软雅黑" w:hAnsi="微软雅黑" w:cs="微软雅黑"/>
        </w:rPr>
        <w:t xml:space="preserve">法定代表人（授权代表）（签字/盖章）：   </w:t>
      </w:r>
      <w:r/>
    </w:p>
    <w:p>
      <w:pPr>
        <w:pStyle w:val="1167"/>
        <w:ind w:left="0"/>
        <w:rPr>
          <w:rFonts w:ascii="微软雅黑" w:hAnsi="微软雅黑" w:cs="微软雅黑"/>
          <w:sz w:val="28"/>
          <w:szCs w:val="28"/>
        </w:rPr>
      </w:pPr>
      <w:r>
        <w:rPr>
          <w:rFonts w:hint="eastAsia" w:ascii="微软雅黑" w:hAnsi="微软雅黑" w:cs="微软雅黑"/>
        </w:rPr>
        <w:t xml:space="preserve">日期：</w:t>
      </w:r>
      <w:r/>
    </w:p>
    <w:p>
      <w:pPr>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r/>
    </w:p>
    <w:p>
      <w:pPr>
        <w:pStyle w:val="1167"/>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sz w:val="18"/>
          <w:szCs w:val="18"/>
        </w:rPr>
      </w:pPr>
      <w:r>
        <w:rPr>
          <w:rFonts w:ascii="微软雅黑" w:hAnsi="微软雅黑" w:cs="微软雅黑"/>
          <w:sz w:val="18"/>
          <w:szCs w:val="18"/>
        </w:rPr>
      </w:r>
      <w:r/>
    </w:p>
    <w:p>
      <w:pPr>
        <w:pStyle w:val="1167"/>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b/>
          <w:sz w:val="24"/>
          <w:szCs w:val="24"/>
        </w:rPr>
      </w:pPr>
      <w:r>
        <w:rPr>
          <w:rFonts w:hint="eastAsia" w:ascii="微软雅黑" w:hAnsi="微软雅黑" w:cs="微软雅黑"/>
          <w:b/>
          <w:sz w:val="24"/>
          <w:szCs w:val="24"/>
        </w:rPr>
        <w:br w:type="page" w:clear="all"/>
      </w:r>
      <w:r/>
    </w:p>
    <w:p>
      <w:pPr>
        <w:pStyle w:val="1148"/>
        <w:jc w:val="center"/>
        <w:rPr>
          <w:rFonts w:ascii="微软雅黑" w:hAnsi="微软雅黑" w:eastAsia="微软雅黑" w:cs="微软雅黑"/>
          <w:b/>
          <w:sz w:val="24"/>
          <w:szCs w:val="24"/>
        </w:rPr>
      </w:pPr>
      <w:r/>
      <w:bookmarkStart w:id="423" w:name="_Toc57"/>
      <w:r>
        <w:rPr>
          <w:rFonts w:hint="eastAsia" w:ascii="微软雅黑" w:hAnsi="微软雅黑" w:eastAsia="微软雅黑" w:cs="微软雅黑"/>
          <w:b/>
          <w:sz w:val="24"/>
          <w:szCs w:val="24"/>
        </w:rPr>
        <w:t xml:space="preserve">5.项目实施方案</w:t>
      </w:r>
      <w:bookmarkEnd w:id="423"/>
      <w:r/>
      <w:r/>
    </w:p>
    <w:p>
      <w:pPr>
        <w:jc w:val="center"/>
        <w:spacing w:line="420" w:lineRule="exact"/>
        <w:rPr>
          <w:rFonts w:ascii="微软雅黑" w:hAnsi="微软雅黑" w:cs="微软雅黑"/>
          <w:sz w:val="24"/>
          <w:szCs w:val="24"/>
        </w:rPr>
      </w:pPr>
      <w:r>
        <w:rPr>
          <w:rFonts w:ascii="微软雅黑" w:hAnsi="微软雅黑" w:cs="微软雅黑"/>
          <w:sz w:val="24"/>
          <w:szCs w:val="24"/>
        </w:rPr>
      </w:r>
      <w:r/>
    </w:p>
    <w:p>
      <w:pPr>
        <w:jc w:val="center"/>
        <w:spacing w:line="420" w:lineRule="exact"/>
        <w:rPr>
          <w:rFonts w:ascii="微软雅黑" w:hAnsi="微软雅黑" w:cs="微软雅黑"/>
          <w:sz w:val="24"/>
          <w:szCs w:val="24"/>
        </w:rPr>
      </w:pPr>
      <w:r>
        <w:rPr>
          <w:rFonts w:ascii="微软雅黑" w:hAnsi="微软雅黑" w:cs="微软雅黑"/>
          <w:sz w:val="24"/>
          <w:szCs w:val="24"/>
        </w:rPr>
      </w:r>
      <w:r/>
    </w:p>
    <w:p>
      <w:pPr>
        <w:jc w:val="center"/>
        <w:spacing w:line="420" w:lineRule="exact"/>
        <w:rPr>
          <w:rFonts w:ascii="微软雅黑" w:hAnsi="微软雅黑" w:cs="微软雅黑"/>
          <w:b/>
          <w:bCs/>
          <w:sz w:val="24"/>
          <w:szCs w:val="24"/>
        </w:rPr>
      </w:pPr>
      <w:r>
        <w:rPr>
          <w:rFonts w:ascii="微软雅黑" w:hAnsi="微软雅黑" w:cs="微软雅黑"/>
          <w:b/>
          <w:bCs/>
          <w:sz w:val="24"/>
          <w:szCs w:val="24"/>
        </w:rPr>
      </w:r>
      <w:r/>
    </w:p>
    <w:p>
      <w:pPr>
        <w:jc w:val="center"/>
        <w:spacing w:line="420" w:lineRule="exact"/>
        <w:rPr>
          <w:rFonts w:ascii="微软雅黑" w:hAnsi="微软雅黑" w:cs="微软雅黑"/>
          <w:b/>
          <w:bCs/>
          <w:sz w:val="28"/>
          <w:szCs w:val="28"/>
        </w:rPr>
      </w:pPr>
      <w:r>
        <w:rPr>
          <w:rFonts w:ascii="微软雅黑" w:hAnsi="微软雅黑" w:cs="微软雅黑"/>
          <w:b/>
          <w:bCs/>
          <w:sz w:val="28"/>
          <w:szCs w:val="28"/>
        </w:rPr>
      </w:r>
      <w:r/>
    </w:p>
    <w:p>
      <w:pPr>
        <w:jc w:val="center"/>
        <w:spacing w:before="4" w:line="420" w:lineRule="exact"/>
        <w:widowControl/>
        <w:rPr>
          <w:rFonts w:ascii="微软雅黑" w:hAnsi="微软雅黑" w:cs="微软雅黑"/>
          <w:szCs w:val="21"/>
        </w:rPr>
      </w:pPr>
      <w:r>
        <w:rPr>
          <w:rFonts w:ascii="微软雅黑" w:hAnsi="微软雅黑" w:cs="微软雅黑"/>
          <w:szCs w:val="21"/>
        </w:rPr>
      </w:r>
      <w:r/>
    </w:p>
    <w:p>
      <w:pPr>
        <w:pStyle w:val="1148"/>
        <w:jc w:val="center"/>
        <w:rPr>
          <w:rFonts w:ascii="微软雅黑" w:hAnsi="微软雅黑" w:eastAsia="微软雅黑" w:cs="微软雅黑"/>
          <w:b/>
          <w:sz w:val="24"/>
          <w:szCs w:val="24"/>
        </w:rPr>
      </w:pPr>
      <w:r/>
      <w:bookmarkStart w:id="424" w:name="_Toc58"/>
      <w:r>
        <w:rPr>
          <w:rFonts w:hint="eastAsia" w:ascii="微软雅黑" w:hAnsi="微软雅黑" w:eastAsia="微软雅黑" w:cs="微软雅黑"/>
          <w:b/>
          <w:sz w:val="24"/>
          <w:szCs w:val="24"/>
        </w:rPr>
        <w:t xml:space="preserve">6.售后服务方案</w:t>
      </w:r>
      <w:bookmarkEnd w:id="424"/>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pStyle w:val="1148"/>
        <w:jc w:val="center"/>
        <w:rPr>
          <w:rFonts w:ascii="微软雅黑" w:hAnsi="微软雅黑" w:eastAsia="微软雅黑" w:cs="微软雅黑"/>
          <w:b/>
          <w:sz w:val="24"/>
          <w:szCs w:val="24"/>
        </w:rPr>
      </w:pPr>
      <w:r/>
      <w:bookmarkStart w:id="425" w:name="_Toc59"/>
      <w:r>
        <w:rPr>
          <w:rFonts w:hint="eastAsia" w:ascii="微软雅黑" w:hAnsi="微软雅黑" w:eastAsia="微软雅黑" w:cs="微软雅黑"/>
        </w:rPr>
        <w:br w:type="page" w:clear="all"/>
      </w:r>
      <w:r>
        <w:rPr>
          <w:rFonts w:hint="eastAsia" w:ascii="微软雅黑" w:hAnsi="微软雅黑" w:eastAsia="微软雅黑" w:cs="微软雅黑"/>
          <w:b/>
          <w:sz w:val="24"/>
          <w:szCs w:val="24"/>
        </w:rPr>
        <w:t xml:space="preserve">7.经营业绩（提供合同复印件）</w:t>
      </w:r>
      <w:bookmarkEnd w:id="425"/>
      <w:r/>
      <w:r/>
    </w:p>
    <w:tbl>
      <w:tblPr>
        <w:tblStyle w:val="115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pct"/>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bl>
    <w:p>
      <w:pPr>
        <w:spacing w:line="420" w:lineRule="exact"/>
        <w:rPr>
          <w:rFonts w:ascii="微软雅黑" w:hAnsi="微软雅黑" w:cs="微软雅黑"/>
          <w:sz w:val="24"/>
          <w:szCs w:val="24"/>
        </w:rPr>
      </w:pPr>
      <w:r>
        <w:rPr>
          <w:rFonts w:ascii="微软雅黑" w:hAnsi="微软雅黑" w:cs="微软雅黑"/>
          <w:sz w:val="24"/>
          <w:szCs w:val="24"/>
        </w:rPr>
      </w:r>
      <w:r/>
    </w:p>
    <w:p>
      <w:pPr>
        <w:rPr>
          <w:rFonts w:ascii="微软雅黑" w:hAnsi="微软雅黑" w:cs="微软雅黑"/>
        </w:rPr>
      </w:pPr>
      <w:r>
        <w:rPr>
          <w:rFonts w:hint="eastAsia" w:ascii="微软雅黑" w:hAnsi="微软雅黑" w:cs="微软雅黑"/>
        </w:rPr>
        <w:t xml:space="preserve">供应商全称（公章）：        </w:t>
      </w:r>
      <w:r/>
    </w:p>
    <w:p>
      <w:pPr>
        <w:pStyle w:val="1167"/>
        <w:ind w:left="0"/>
        <w:rPr>
          <w:rFonts w:ascii="微软雅黑" w:hAnsi="微软雅黑" w:cs="微软雅黑"/>
          <w:sz w:val="28"/>
          <w:szCs w:val="28"/>
        </w:rPr>
      </w:pPr>
      <w:r>
        <w:rPr>
          <w:rFonts w:hint="eastAsia" w:ascii="微软雅黑" w:hAnsi="微软雅黑" w:cs="微软雅黑"/>
        </w:rPr>
        <w:t xml:space="preserve">日期：</w:t>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w:t>
      </w:r>
      <w:r/>
    </w:p>
    <w:p>
      <w:pPr>
        <w:ind w:firstLine="360"/>
        <w:spacing w:line="42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p>
    <w:p>
      <w:pPr>
        <w:ind w:firstLine="360"/>
        <w:spacing w:before="19" w:line="420" w:lineRule="exact"/>
        <w:widowControl/>
        <w:rPr>
          <w:rFonts w:ascii="微软雅黑" w:hAnsi="微软雅黑" w:cs="微软雅黑"/>
          <w:color w:val="ff0000"/>
          <w:sz w:val="18"/>
          <w:szCs w:val="18"/>
        </w:rPr>
      </w:pPr>
      <w:r>
        <w:rPr>
          <w:rFonts w:ascii="微软雅黑" w:hAnsi="微软雅黑" w:cs="微软雅黑"/>
          <w:color w:val="ff0000"/>
          <w:sz w:val="18"/>
          <w:szCs w:val="18"/>
        </w:rPr>
      </w:r>
      <w:r/>
    </w:p>
    <w:p>
      <w:pPr>
        <w:ind w:firstLine="360"/>
        <w:spacing w:before="19" w:line="420" w:lineRule="exact"/>
        <w:widowControl/>
        <w:rPr>
          <w:rFonts w:ascii="微软雅黑" w:hAnsi="微软雅黑" w:cs="微软雅黑"/>
          <w:color w:val="ff0000"/>
          <w:sz w:val="18"/>
          <w:szCs w:val="18"/>
        </w:rPr>
      </w:pPr>
      <w:r>
        <w:rPr>
          <w:rFonts w:ascii="微软雅黑" w:hAnsi="微软雅黑" w:cs="微软雅黑"/>
          <w:color w:val="ff0000"/>
          <w:sz w:val="18"/>
          <w:szCs w:val="18"/>
        </w:rPr>
      </w:r>
      <w:r/>
    </w:p>
    <w:p>
      <w:pPr>
        <w:ind w:firstLine="360"/>
        <w:spacing w:before="19" w:line="420" w:lineRule="exact"/>
        <w:widowControl/>
        <w:rPr>
          <w:rFonts w:ascii="微软雅黑" w:hAnsi="微软雅黑" w:cs="微软雅黑"/>
          <w:b/>
          <w:color w:val="ff0000"/>
          <w:szCs w:val="21"/>
        </w:rPr>
      </w:pPr>
      <w:r>
        <w:rPr>
          <w:rFonts w:hint="eastAsia" w:ascii="微软雅黑" w:hAnsi="微软雅黑" w:cs="微软雅黑"/>
          <w:color w:val="ff0000"/>
          <w:sz w:val="18"/>
          <w:szCs w:val="18"/>
        </w:rPr>
        <w:t xml:space="preserve"> </w:t>
      </w:r>
      <w:r>
        <w:rPr>
          <w:rFonts w:hint="eastAsia" w:ascii="微软雅黑" w:hAnsi="微软雅黑" w:cs="微软雅黑"/>
          <w:b/>
          <w:i/>
          <w:iCs/>
          <w:color w:val="ff0000"/>
          <w:sz w:val="24"/>
          <w:szCs w:val="24"/>
          <w:u w:val="single"/>
        </w:rPr>
        <w:t xml:space="preserve">注： 1－4项为必须提供的内容，未提供或未按要求提供将不能通过符合性审查。</w:t>
      </w:r>
      <w:r/>
    </w:p>
    <w:p>
      <w:pPr>
        <w:rPr>
          <w:rFonts w:ascii="微软雅黑" w:hAnsi="微软雅黑" w:cs="微软雅黑"/>
          <w:b/>
          <w:bCs/>
        </w:rPr>
      </w:pPr>
      <w:r>
        <w:rPr>
          <w:rFonts w:hint="eastAsia" w:ascii="微软雅黑" w:hAnsi="微软雅黑" w:cs="微软雅黑"/>
          <w:b/>
          <w:bCs/>
        </w:rPr>
        <w:br w:type="page" w:clear="all"/>
      </w:r>
      <w:r/>
    </w:p>
    <w:p>
      <w:pPr>
        <w:pStyle w:val="1147"/>
        <w:jc w:val="center"/>
        <w:rPr>
          <w:rFonts w:ascii="微软雅黑" w:hAnsi="微软雅黑" w:eastAsia="微软雅黑" w:cs="微软雅黑"/>
          <w:b/>
          <w:bCs/>
          <w:sz w:val="28"/>
          <w:szCs w:val="32"/>
        </w:rPr>
      </w:pPr>
      <w:r/>
      <w:bookmarkStart w:id="426" w:name="_Toc60"/>
      <w:r>
        <w:rPr>
          <w:rFonts w:hint="eastAsia" w:ascii="微软雅黑" w:hAnsi="微软雅黑" w:eastAsia="微软雅黑" w:cs="微软雅黑"/>
          <w:b/>
          <w:bCs/>
          <w:sz w:val="28"/>
          <w:szCs w:val="32"/>
        </w:rPr>
        <w:t xml:space="preserve">二、其他相关附表格式</w:t>
      </w:r>
      <w:bookmarkEnd w:id="426"/>
      <w:r/>
      <w:r/>
    </w:p>
    <w:p>
      <w:pPr>
        <w:pStyle w:val="1148"/>
        <w:jc w:val="center"/>
        <w:rPr>
          <w:rFonts w:ascii="微软雅黑" w:hAnsi="微软雅黑" w:eastAsia="微软雅黑" w:cs="微软雅黑"/>
          <w:b/>
          <w:bCs/>
          <w:sz w:val="22"/>
          <w:szCs w:val="21"/>
        </w:rPr>
      </w:pPr>
      <w:r/>
      <w:bookmarkStart w:id="427" w:name="_Toc61"/>
      <w:r/>
      <w:bookmarkStart w:id="325" w:name="__x000F_二、资格证明文件"/>
      <w:r>
        <w:rPr>
          <w:rFonts w:hint="eastAsia" w:ascii="微软雅黑" w:hAnsi="微软雅黑" w:eastAsia="微软雅黑" w:cs="微软雅黑"/>
          <w:b/>
          <w:bCs/>
          <w:sz w:val="22"/>
          <w:szCs w:val="21"/>
        </w:rPr>
        <w:t xml:space="preserve">1.法人授权委托书</w:t>
      </w:r>
      <w:bookmarkEnd w:id="427"/>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spacing w:line="440" w:lineRule="exact"/>
        <w:rPr>
          <w:rFonts w:ascii="微软雅黑" w:hAnsi="微软雅黑" w:cs="微软雅黑"/>
        </w:rPr>
      </w:pPr>
      <w:r>
        <w:rPr>
          <w:rFonts w:hint="eastAsia" w:ascii="微软雅黑" w:hAnsi="微软雅黑" w:cs="微软雅黑"/>
        </w:rPr>
        <w:t xml:space="preserve">    本授权书宣告：</w:t>
      </w:r>
      <w:r/>
    </w:p>
    <w:p>
      <w:pPr>
        <w:ind w:firstLine="420"/>
        <w:spacing w:line="440" w:lineRule="exact"/>
        <w:rPr>
          <w:rFonts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p>
    <w:p>
      <w:pPr>
        <w:ind w:firstLine="420"/>
        <w:spacing w:line="440" w:lineRule="exact"/>
        <w:rPr>
          <w:rFonts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p>
    <w:p>
      <w:pPr>
        <w:ind w:firstLine="420"/>
        <w:spacing w:line="440" w:lineRule="exact"/>
        <w:rPr>
          <w:rFonts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p>
    <w:p>
      <w:pPr>
        <w:ind w:firstLine="420"/>
        <w:spacing w:line="440" w:lineRule="exact"/>
        <w:rPr>
          <w:rFonts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p>
    <w:p>
      <w:pPr>
        <w:ind w:firstLine="420"/>
        <w:spacing w:line="440" w:lineRule="exact"/>
        <w:rPr>
          <w:rFonts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p>
    <w:p>
      <w:pPr>
        <w:ind w:firstLine="420"/>
        <w:spacing w:line="440" w:lineRule="exact"/>
        <w:rPr>
          <w:rFonts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72576;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71552;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rPr>
        <w:t xml:space="preserve">附：</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jc w:val="right"/>
        <w:spacing w:line="440" w:lineRule="exact"/>
        <w:rPr>
          <w:rFonts w:ascii="微软雅黑" w:hAnsi="微软雅黑" w:cs="微软雅黑"/>
        </w:rPr>
      </w:pPr>
      <w:r>
        <w:rPr>
          <w:rFonts w:hint="eastAsia" w:ascii="微软雅黑" w:hAnsi="微软雅黑" w:cs="微软雅黑"/>
        </w:rPr>
        <w:t xml:space="preserve">              委托单位：    （公章）                     </w:t>
      </w:r>
      <w:r/>
    </w:p>
    <w:p>
      <w:pPr>
        <w:jc w:val="right"/>
        <w:spacing w:line="440" w:lineRule="exact"/>
        <w:rPr>
          <w:rFonts w:ascii="微软雅黑" w:hAnsi="微软雅黑" w:cs="微软雅黑"/>
        </w:rPr>
      </w:pPr>
      <w:r>
        <w:rPr>
          <w:rFonts w:hint="eastAsia" w:ascii="微软雅黑" w:hAnsi="微软雅黑" w:cs="微软雅黑"/>
        </w:rPr>
        <w:t xml:space="preserve">                               法定代表人：  （签字/盖章）</w:t>
      </w:r>
      <w:r/>
    </w:p>
    <w:p>
      <w:pPr>
        <w:jc w:val="right"/>
        <w:spacing w:line="440" w:lineRule="exact"/>
        <w:rPr>
          <w:rFonts w:ascii="微软雅黑" w:hAnsi="微软雅黑" w:cs="微软雅黑"/>
        </w:rPr>
      </w:pPr>
      <w:r>
        <w:rPr>
          <w:rFonts w:hint="eastAsia" w:ascii="微软雅黑" w:hAnsi="微软雅黑" w:cs="微软雅黑"/>
        </w:rPr>
        <w:t xml:space="preserve">授权代表：  （签字/盖章）   </w:t>
      </w:r>
      <w:r/>
    </w:p>
    <w:p>
      <w:pPr>
        <w:jc w:val="right"/>
        <w:spacing w:line="440" w:lineRule="exact"/>
        <w:rPr>
          <w:rFonts w:ascii="微软雅黑" w:hAnsi="微软雅黑" w:cs="微软雅黑"/>
        </w:rPr>
      </w:pPr>
      <w:r>
        <w:rPr>
          <w:rFonts w:hint="eastAsia" w:ascii="微软雅黑" w:hAnsi="微软雅黑" w:cs="微软雅黑"/>
        </w:rPr>
        <w:t xml:space="preserve">年     月     日</w:t>
      </w:r>
      <w:r/>
    </w:p>
    <w:p>
      <w:pPr>
        <w:spacing w:line="420" w:lineRule="exact"/>
        <w:rPr>
          <w:rFonts w:ascii="微软雅黑" w:hAnsi="微软雅黑" w:cs="微软雅黑"/>
          <w:sz w:val="18"/>
          <w:szCs w:val="18"/>
        </w:rPr>
      </w:pPr>
      <w:r>
        <w:rPr>
          <w:rFonts w:ascii="微软雅黑" w:hAnsi="微软雅黑" w:cs="微软雅黑"/>
          <w:sz w:val="18"/>
          <w:szCs w:val="18"/>
        </w:rPr>
      </w:r>
      <w:r/>
    </w:p>
    <w:p>
      <w:pPr>
        <w:spacing w:line="420" w:lineRule="exact"/>
        <w:rPr>
          <w:rFonts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p>
    <w:p>
      <w:pPr>
        <w:spacing w:line="360" w:lineRule="auto"/>
        <w:rPr>
          <w:rFonts w:ascii="微软雅黑" w:hAnsi="微软雅黑" w:cs="微软雅黑"/>
          <w:sz w:val="24"/>
          <w:szCs w:val="24"/>
        </w:rPr>
      </w:pPr>
      <w:r>
        <w:rPr>
          <w:rFonts w:ascii="微软雅黑" w:hAnsi="微软雅黑" w:cs="微软雅黑"/>
          <w:sz w:val="24"/>
          <w:szCs w:val="24"/>
        </w:rPr>
      </w:r>
      <w:r/>
    </w:p>
    <w:p>
      <w:pPr>
        <w:jc w:val="center"/>
        <w:rPr>
          <w:rFonts w:ascii="微软雅黑" w:hAnsi="微软雅黑" w:cs="微软雅黑"/>
          <w:b/>
          <w:bCs/>
          <w:sz w:val="24"/>
          <w:szCs w:val="24"/>
        </w:rPr>
      </w:pPr>
      <w:r>
        <w:rPr>
          <w:rFonts w:ascii="微软雅黑" w:hAnsi="微软雅黑" w:cs="微软雅黑"/>
          <w:b/>
          <w:bCs/>
          <w:sz w:val="24"/>
          <w:szCs w:val="24"/>
        </w:rPr>
      </w:r>
      <w:bookmarkEnd w:id="325"/>
      <w:r/>
      <w:r/>
    </w:p>
    <w:p>
      <w:pPr>
        <w:pStyle w:val="1148"/>
        <w:jc w:val="left"/>
        <w:rPr>
          <w:rFonts w:ascii="微软雅黑" w:hAnsi="微软雅黑" w:eastAsia="微软雅黑" w:cs="微软雅黑"/>
          <w:b/>
          <w:bCs/>
          <w:sz w:val="22"/>
          <w:szCs w:val="21"/>
        </w:rPr>
      </w:pPr>
      <w:r/>
      <w:bookmarkStart w:id="428" w:name="_Toc62"/>
      <w:r>
        <w:rPr>
          <w:rFonts w:hint="eastAsia" w:ascii="微软雅黑" w:hAnsi="微软雅黑" w:eastAsia="微软雅黑" w:cs="微软雅黑"/>
          <w:b/>
          <w:bCs/>
          <w:sz w:val="22"/>
          <w:szCs w:val="21"/>
        </w:rPr>
        <w:t xml:space="preserve">2.声明</w:t>
      </w:r>
      <w:r>
        <w:rPr>
          <w:rFonts w:hint="eastAsia" w:ascii="微软雅黑" w:hAnsi="微软雅黑" w:eastAsia="微软雅黑" w:cs="微软雅黑"/>
          <w:b/>
          <w:bCs/>
          <w:sz w:val="22"/>
          <w:szCs w:val="21"/>
        </w:rPr>
        <w:t xml:space="preserve">（参考格式）</w:t>
      </w:r>
      <w:bookmarkEnd w:id="428"/>
      <w:r/>
      <w:r/>
    </w:p>
    <w:p>
      <w:pPr>
        <w:jc w:val="center"/>
        <w:spacing w:before="156"/>
        <w:rPr>
          <w:rFonts w:ascii="微软雅黑" w:hAnsi="微软雅黑" w:cs="微软雅黑"/>
          <w:b/>
          <w:bCs/>
          <w:sz w:val="24"/>
          <w:szCs w:val="24"/>
        </w:rPr>
      </w:pPr>
      <w:r>
        <w:rPr>
          <w:rFonts w:hint="eastAsia" w:ascii="微软雅黑" w:hAnsi="微软雅黑" w:cs="微软雅黑"/>
          <w:b/>
          <w:bCs/>
          <w:sz w:val="24"/>
          <w:szCs w:val="24"/>
        </w:rPr>
        <w:t xml:space="preserve">声  明</w:t>
      </w:r>
      <w:r/>
    </w:p>
    <w:p>
      <w:pPr>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ascii="微软雅黑" w:hAnsi="微软雅黑" w:cs="微软雅黑"/>
          <w:sz w:val="24"/>
          <w:szCs w:val="24"/>
        </w:rPr>
      </w:pPr>
      <w:r>
        <w:rPr>
          <w:rFonts w:ascii="微软雅黑" w:hAnsi="微软雅黑" w:cs="微软雅黑"/>
          <w:sz w:val="24"/>
          <w:szCs w:val="24"/>
        </w:rPr>
      </w:r>
      <w:r/>
    </w:p>
    <w:p>
      <w:pPr>
        <w:spacing w:line="360" w:lineRule="auto"/>
        <w:rPr>
          <w:rFonts w:ascii="微软雅黑" w:hAnsi="微软雅黑" w:cs="微软雅黑"/>
          <w:sz w:val="24"/>
          <w:szCs w:val="24"/>
        </w:rPr>
      </w:pPr>
      <w:r>
        <w:rPr>
          <w:rFonts w:ascii="微软雅黑" w:hAnsi="微软雅黑" w:cs="微软雅黑"/>
          <w:sz w:val="24"/>
          <w:szCs w:val="24"/>
        </w:rPr>
      </w:r>
      <w:r/>
    </w:p>
    <w:p>
      <w:pPr>
        <w:spacing w:line="360" w:lineRule="auto"/>
        <w:rPr>
          <w:rFonts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p>
    <w:p>
      <w:pPr>
        <w:spacing w:line="360" w:lineRule="auto"/>
        <w:rPr>
          <w:rFonts w:ascii="微软雅黑" w:hAnsi="微软雅黑" w:cs="微软雅黑"/>
          <w:szCs w:val="21"/>
        </w:rPr>
      </w:pPr>
      <w:r>
        <w:rPr>
          <w:rFonts w:hint="eastAsia" w:ascii="微软雅黑" w:hAnsi="微软雅黑" w:cs="微软雅黑"/>
          <w:szCs w:val="21"/>
        </w:rPr>
        <w:t xml:space="preserve">                      法定代表人（或授权代表）签章/签字：</w:t>
      </w:r>
      <w:r/>
    </w:p>
    <w:p>
      <w:pPr>
        <w:spacing w:line="360" w:lineRule="auto"/>
        <w:rPr>
          <w:rFonts w:ascii="微软雅黑" w:hAnsi="微软雅黑" w:cs="微软雅黑"/>
          <w:szCs w:val="21"/>
        </w:rPr>
      </w:pPr>
      <w:r>
        <w:rPr>
          <w:rFonts w:hint="eastAsia" w:ascii="微软雅黑" w:hAnsi="微软雅黑" w:cs="微软雅黑"/>
          <w:szCs w:val="21"/>
        </w:rPr>
        <w:t xml:space="preserve">                      日期：</w:t>
      </w:r>
      <w:r/>
    </w:p>
    <w:p>
      <w:pPr>
        <w:pStyle w:val="1167"/>
        <w:ind w:left="0"/>
        <w:rPr>
          <w:rFonts w:ascii="微软雅黑" w:hAnsi="微软雅黑" w:cs="微软雅黑"/>
          <w:szCs w:val="21"/>
        </w:rPr>
      </w:pPr>
      <w:r>
        <w:rPr>
          <w:rFonts w:ascii="微软雅黑" w:hAnsi="微软雅黑" w:cs="微软雅黑"/>
          <w:szCs w:val="21"/>
        </w:rPr>
      </w:r>
      <w:r/>
    </w:p>
    <w:p>
      <w:pPr>
        <w:pStyle w:val="1167"/>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p>
    <w:p>
      <w:pPr>
        <w:pStyle w:val="1167"/>
        <w:ind w:left="0"/>
        <w:spacing w:line="400" w:lineRule="exact"/>
        <w:rPr>
          <w:rFonts w:ascii="微软雅黑" w:hAnsi="微软雅黑" w:cs="微软雅黑"/>
          <w:b/>
          <w:bCs/>
          <w:spacing w:val="-5"/>
        </w:rPr>
      </w:pPr>
      <w:r>
        <w:rPr>
          <w:rFonts w:hint="eastAsia" w:ascii="微软雅黑" w:hAnsi="微软雅黑" w:cs="微软雅黑"/>
          <w:b/>
          <w:bCs/>
          <w:szCs w:val="21"/>
        </w:rPr>
        <w:t xml:space="preserve">1. 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p>
    <w:p>
      <w:pPr>
        <w:pStyle w:val="1167"/>
        <w:ind w:left="0"/>
        <w:spacing w:line="400" w:lineRule="exact"/>
        <w:rPr>
          <w:rFonts w:ascii="微软雅黑" w:hAnsi="微软雅黑" w:cs="微软雅黑"/>
          <w:b/>
          <w:bCs/>
          <w:spacing w:val="-5"/>
        </w:rPr>
      </w:pPr>
      <w:r>
        <w:rPr>
          <w:rFonts w:hint="eastAsia" w:ascii="微软雅黑" w:hAnsi="微软雅黑" w:cs="微软雅黑"/>
          <w:b/>
          <w:bCs/>
          <w:szCs w:val="21"/>
        </w:rPr>
        <w:t xml:space="preserve">2. 较大数额罚款标准参照财库[2022]3号文规定执行，指的是200万元以上数额。</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p>
    <w:p>
      <w:pPr>
        <w:pStyle w:val="1148"/>
        <w:jc w:val="left"/>
        <w:rPr>
          <w:rFonts w:ascii="微软雅黑" w:hAnsi="微软雅黑" w:eastAsia="微软雅黑" w:cs="微软雅黑"/>
          <w:b/>
          <w:bCs/>
          <w:sz w:val="22"/>
          <w:szCs w:val="21"/>
        </w:rPr>
      </w:pPr>
      <w:r/>
      <w:bookmarkStart w:id="429" w:name="_Toc63"/>
      <w:r>
        <w:rPr>
          <w:rFonts w:hint="eastAsia" w:ascii="微软雅黑" w:hAnsi="微软雅黑" w:eastAsia="微软雅黑" w:cs="微软雅黑"/>
          <w:b/>
          <w:bCs/>
          <w:sz w:val="22"/>
          <w:szCs w:val="21"/>
        </w:rPr>
        <w:t xml:space="preserve">3.承诺（参考格式）</w:t>
      </w:r>
      <w:bookmarkEnd w:id="429"/>
      <w:r/>
      <w:r/>
    </w:p>
    <w:p>
      <w:pPr>
        <w:jc w:val="center"/>
        <w:rPr>
          <w:rFonts w:ascii="微软雅黑" w:hAnsi="微软雅黑" w:cs="微软雅黑"/>
          <w:b/>
          <w:bCs/>
          <w:sz w:val="22"/>
          <w:szCs w:val="21"/>
        </w:rPr>
      </w:pPr>
      <w:r>
        <w:rPr>
          <w:rFonts w:hint="eastAsia" w:ascii="微软雅黑" w:hAnsi="微软雅黑" w:cs="微软雅黑"/>
          <w:b/>
          <w:bCs/>
          <w:sz w:val="22"/>
          <w:szCs w:val="21"/>
        </w:rPr>
        <w:t xml:space="preserve">承  诺</w:t>
      </w:r>
      <w:r/>
    </w:p>
    <w:p>
      <w:pPr>
        <w:spacing w:line="440" w:lineRule="exact"/>
        <w:rPr>
          <w:rFonts w:ascii="微软雅黑" w:hAnsi="微软雅黑" w:cs="微软雅黑"/>
          <w:szCs w:val="21"/>
        </w:rPr>
      </w:pPr>
      <w:r>
        <w:rPr>
          <w:rFonts w:hint="eastAsia" w:ascii="微软雅黑" w:hAnsi="微软雅黑" w:cs="微软雅黑"/>
          <w:szCs w:val="21"/>
        </w:rPr>
        <w:t xml:space="preserve">我公司承诺：</w:t>
      </w:r>
      <w:r/>
    </w:p>
    <w:p>
      <w:pPr>
        <w:numPr>
          <w:ilvl w:val="0"/>
          <w:numId w:val="18"/>
        </w:numPr>
        <w:spacing w:line="440" w:lineRule="exact"/>
        <w:rPr>
          <w:rFonts w:ascii="微软雅黑" w:hAnsi="微软雅黑" w:cs="微软雅黑"/>
          <w:szCs w:val="21"/>
        </w:rPr>
      </w:pPr>
      <w:r>
        <w:rPr>
          <w:rFonts w:hint="eastAsia" w:ascii="微软雅黑" w:hAnsi="微软雅黑" w:cs="微软雅黑"/>
          <w:szCs w:val="21"/>
        </w:rPr>
        <w:t xml:space="preserve">我单位未组成联合体投标，中标后不进行分包、转包。</w:t>
      </w:r>
      <w:r/>
    </w:p>
    <w:p>
      <w:pPr>
        <w:numPr>
          <w:ilvl w:val="0"/>
          <w:numId w:val="18"/>
        </w:numPr>
        <w:spacing w:line="440" w:lineRule="exact"/>
        <w:rPr>
          <w:rFonts w:ascii="微软雅黑" w:hAnsi="微软雅黑" w:cs="微软雅黑"/>
          <w:szCs w:val="21"/>
        </w:rPr>
      </w:pPr>
      <w:r>
        <w:rPr>
          <w:rFonts w:hint="eastAsia" w:ascii="微软雅黑" w:hAnsi="微软雅黑" w:cs="微软雅黑"/>
          <w:szCs w:val="21"/>
        </w:rPr>
        <w:t xml:space="preserve">我单位负责人</w:t>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p>
    <w:p>
      <w:pPr>
        <w:numPr>
          <w:ilvl w:val="0"/>
          <w:numId w:val="18"/>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ascii="微软雅黑" w:hAnsi="微软雅黑" w:cs="微软雅黑"/>
          <w:szCs w:val="21"/>
        </w:rPr>
      </w:pPr>
      <w:r>
        <w:rPr>
          <w:rFonts w:hint="eastAsia" w:ascii="微软雅黑" w:hAnsi="微软雅黑" w:cs="微软雅黑"/>
          <w:szCs w:val="21"/>
        </w:rPr>
        <w:t xml:space="preserve">特此承诺。</w:t>
      </w:r>
      <w:r/>
    </w:p>
    <w:p>
      <w:pPr>
        <w:rPr>
          <w:rFonts w:ascii="微软雅黑" w:hAnsi="微软雅黑" w:cs="微软雅黑"/>
          <w:bCs/>
          <w:szCs w:val="21"/>
        </w:rPr>
      </w:pPr>
      <w:r>
        <w:rPr>
          <w:rFonts w:ascii="微软雅黑" w:hAnsi="微软雅黑" w:cs="微软雅黑"/>
          <w:bCs/>
          <w:szCs w:val="21"/>
        </w:rPr>
      </w:r>
      <w:r/>
    </w:p>
    <w:p>
      <w:pPr>
        <w:pStyle w:val="1162"/>
        <w:rPr>
          <w:rFonts w:ascii="微软雅黑" w:hAnsi="微软雅黑" w:eastAsia="微软雅黑" w:cs="微软雅黑"/>
          <w:sz w:val="21"/>
          <w:szCs w:val="21"/>
        </w:rPr>
      </w:pPr>
      <w:r>
        <w:rPr>
          <w:rFonts w:ascii="微软雅黑" w:hAnsi="微软雅黑" w:eastAsia="微软雅黑" w:cs="微软雅黑"/>
          <w:sz w:val="21"/>
          <w:szCs w:val="21"/>
        </w:rPr>
      </w:r>
      <w:r/>
    </w:p>
    <w:p>
      <w:pPr>
        <w:pStyle w:val="1162"/>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162"/>
        <w:rPr>
          <w:rFonts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法定代表人（或授权代表）签章/签字：</w:t>
      </w:r>
      <w:r/>
    </w:p>
    <w:p>
      <w:pPr>
        <w:pStyle w:val="1162"/>
        <w:rPr>
          <w:rFonts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pPr>
        <w:pStyle w:val="1148"/>
        <w:spacing w:before="0" w:after="0"/>
        <w:rPr>
          <w:rFonts w:ascii="微软雅黑" w:hAnsi="微软雅黑" w:eastAsia="微软雅黑" w:cs="微软雅黑"/>
          <w:b/>
          <w:bCs/>
          <w:sz w:val="24"/>
          <w:szCs w:val="24"/>
        </w:rPr>
      </w:pPr>
      <w:r/>
      <w:bookmarkStart w:id="430" w:name="_Toc64"/>
      <w:r>
        <w:rPr>
          <w:rFonts w:hint="eastAsia" w:ascii="微软雅黑" w:hAnsi="微软雅黑" w:eastAsia="微软雅黑" w:cs="微软雅黑"/>
          <w:sz w:val="24"/>
          <w:szCs w:val="24"/>
        </w:rPr>
        <w:br w:type="page" w:clear="all"/>
      </w:r>
      <w:r>
        <w:rPr>
          <w:rFonts w:hint="eastAsia" w:ascii="微软雅黑" w:hAnsi="微软雅黑" w:eastAsia="微软雅黑" w:cs="微软雅黑"/>
          <w:b/>
          <w:bCs/>
          <w:sz w:val="24"/>
          <w:szCs w:val="24"/>
        </w:rPr>
        <w:t xml:space="preserve">附件1.中小企业声明函</w:t>
      </w:r>
      <w:bookmarkEnd w:id="430"/>
      <w:r/>
      <w:r/>
    </w:p>
    <w:p>
      <w:pPr>
        <w:rPr>
          <w:rFonts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p>
    <w:p>
      <w:pPr>
        <w:jc w:val="center"/>
        <w:spacing w:line="420" w:lineRule="exact"/>
        <w:rPr>
          <w:rFonts w:ascii="微软雅黑" w:hAnsi="微软雅黑" w:cs="微软雅黑"/>
          <w:b/>
          <w:bCs/>
        </w:rPr>
      </w:pPr>
      <w:r>
        <w:rPr>
          <w:rFonts w:hint="eastAsia" w:ascii="微软雅黑" w:hAnsi="微软雅黑" w:cs="微软雅黑"/>
          <w:b/>
          <w:bCs/>
        </w:rPr>
        <w:t xml:space="preserve">中小企业声明函（货物）</w:t>
      </w:r>
      <w:r/>
    </w:p>
    <w:p>
      <w:pPr>
        <w:ind w:firstLine="420"/>
        <w:jc w:val="left"/>
        <w:keepLines/>
        <w:keepNext/>
        <w:spacing w:line="400" w:lineRule="exact"/>
        <w:rPr>
          <w:rFonts w:ascii="微软雅黑" w:hAnsi="微软雅黑" w:cs="微软雅黑"/>
        </w:rPr>
      </w:pPr>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（采购文件中明确的所属行业）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rPr>
          <w:rFonts w:hint="eastAsia" w:ascii="微软雅黑" w:hAnsi="微软雅黑" w:cs="微软雅黑"/>
        </w:rPr>
        <w:t xml:space="preserve">……</w:t>
      </w:r>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rPr>
          <w:rFonts w:hint="eastAsia" w:ascii="微软雅黑" w:hAnsi="微软雅黑" w:cs="微软雅黑"/>
        </w:rPr>
        <w:t xml:space="preserve">以上企业，不属于大企业的分支机构，不存在控股股东 为大企业的情形，也不存在与大企业的负责人为同一人的情形。</w:t>
      </w:r>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rPr>
          <w:rFonts w:hint="eastAsia" w:ascii="微软雅黑" w:hAnsi="微软雅黑" w:cs="微软雅黑"/>
        </w:rPr>
        <w:t xml:space="preserve">本企业对上述声明内容的真实性负责。如有虚假，将依法承担相应责任。</w:t>
      </w:r>
      <w:r>
        <w:rPr>
          <w:rFonts w:hint="eastAsia" w:ascii="微软雅黑" w:hAnsi="微软雅黑" w:cs="微软雅黑"/>
        </w:rPr>
        <w:t xml:space="preserve"> </w:t>
      </w:r>
      <w:r/>
    </w:p>
    <w:p>
      <w:pPr>
        <w:ind w:firstLine="420"/>
        <w:spacing w:line="420" w:lineRule="exact"/>
        <w:rPr>
          <w:rFonts w:ascii="微软雅黑" w:hAnsi="微软雅黑" w:cs="微软雅黑"/>
        </w:rPr>
      </w:pPr>
      <w:r>
        <w:rPr>
          <w:rFonts w:ascii="微软雅黑" w:hAnsi="微软雅黑" w:cs="微软雅黑"/>
        </w:rPr>
      </w:r>
      <w:r/>
    </w:p>
    <w:p>
      <w:pPr>
        <w:ind w:firstLine="420"/>
        <w:jc w:val="right"/>
        <w:spacing w:line="420" w:lineRule="exact"/>
        <w:rPr>
          <w:rFonts w:ascii="微软雅黑" w:hAnsi="微软雅黑" w:cs="微软雅黑"/>
        </w:rPr>
      </w:pPr>
      <w:r>
        <w:rPr>
          <w:rFonts w:hint="eastAsia" w:ascii="微软雅黑" w:hAnsi="微软雅黑" w:cs="微软雅黑"/>
        </w:rPr>
        <w:t xml:space="preserve">企业名称（盖章）：</w:t>
      </w:r>
      <w:r>
        <w:rPr>
          <w:rFonts w:hint="eastAsia" w:ascii="微软雅黑" w:hAnsi="微软雅黑" w:cs="微软雅黑"/>
        </w:rPr>
        <w:t xml:space="preserve"> </w:t>
      </w:r>
      <w:r/>
    </w:p>
    <w:p>
      <w:pPr>
        <w:ind w:firstLine="420"/>
        <w:jc w:val="right"/>
        <w:spacing w:line="420" w:lineRule="exact"/>
        <w:rPr>
          <w:rFonts w:ascii="微软雅黑" w:hAnsi="微软雅黑" w:cs="微软雅黑"/>
        </w:rPr>
      </w:pPr>
      <w:r>
        <w:rPr>
          <w:rFonts w:hint="eastAsia" w:ascii="微软雅黑" w:hAnsi="微软雅黑" w:cs="微软雅黑"/>
        </w:rPr>
        <w:t xml:space="preserve">日 期：</w:t>
      </w:r>
      <w:r/>
    </w:p>
    <w:p>
      <w:pPr>
        <w:ind w:firstLine="420"/>
        <w:spacing w:line="420" w:lineRule="exact"/>
        <w:rPr>
          <w:rFonts w:ascii="微软雅黑" w:hAnsi="微软雅黑" w:cs="微软雅黑"/>
        </w:rPr>
      </w:pPr>
      <w:r>
        <w:rPr>
          <w:rFonts w:ascii="微软雅黑" w:hAnsi="微软雅黑" w:cs="微软雅黑"/>
        </w:rPr>
      </w:r>
      <w:r/>
    </w:p>
    <w:p>
      <w:pPr>
        <w:ind w:firstLine="420"/>
        <w:spacing w:line="420" w:lineRule="exact"/>
        <w:rPr>
          <w:rFonts w:ascii="微软雅黑" w:hAnsi="微软雅黑" w:cs="微软雅黑"/>
          <w:szCs w:val="21"/>
        </w:rPr>
      </w:pPr>
      <w:r>
        <w:rPr>
          <w:rFonts w:hint="eastAsia" w:ascii="微软雅黑" w:hAnsi="微软雅黑" w:cs="微软雅黑"/>
        </w:rPr>
        <w:t xml:space="preserve">注：从业人员、营业收入、资产总额填报上一年度数据，无上一年度数据的新成立企业可不填报。</w:t>
      </w:r>
      <w:r/>
    </w:p>
    <w:p>
      <w:pPr>
        <w:spacing w:line="420" w:lineRule="exact"/>
        <w:rPr>
          <w:rFonts w:ascii="微软雅黑" w:hAnsi="微软雅黑" w:cs="微软雅黑"/>
          <w:b/>
          <w:bCs/>
          <w:sz w:val="28"/>
          <w:szCs w:val="28"/>
        </w:rPr>
      </w:pPr>
      <w:r>
        <w:rPr>
          <w:rFonts w:ascii="微软雅黑" w:hAnsi="微软雅黑" w:cs="微软雅黑"/>
          <w:b/>
          <w:bCs/>
          <w:sz w:val="28"/>
          <w:szCs w:val="28"/>
        </w:rPr>
      </w:r>
      <w:r/>
    </w:p>
    <w:p>
      <w:pPr>
        <w:spacing w:line="420" w:lineRule="exact"/>
        <w:rPr>
          <w:rFonts w:ascii="微软雅黑" w:hAnsi="微软雅黑" w:cs="微软雅黑"/>
          <w:sz w:val="28"/>
          <w:szCs w:val="28"/>
        </w:rPr>
      </w:pPr>
      <w:r>
        <w:rPr>
          <w:rFonts w:ascii="微软雅黑" w:hAnsi="微软雅黑" w:cs="微软雅黑"/>
          <w:sz w:val="28"/>
          <w:szCs w:val="28"/>
        </w:rPr>
      </w:r>
      <w:r/>
    </w:p>
    <w:p>
      <w:pPr>
        <w:rPr>
          <w:rFonts w:ascii="微软雅黑" w:hAnsi="微软雅黑" w:cs="微软雅黑"/>
        </w:rPr>
      </w:pPr>
      <w:r>
        <w:rPr>
          <w:rFonts w:ascii="微软雅黑" w:hAnsi="微软雅黑" w:cs="微软雅黑"/>
        </w:rPr>
      </w:r>
      <w:r/>
    </w:p>
    <w:p>
      <w:pPr>
        <w:spacing w:line="300" w:lineRule="exact"/>
        <w:rPr>
          <w:rFonts w:ascii="微软雅黑" w:hAnsi="微软雅黑" w:cs="微软雅黑"/>
          <w:b/>
          <w:bCs/>
          <w:szCs w:val="21"/>
        </w:rPr>
      </w:pPr>
      <w:r>
        <w:rPr>
          <w:rFonts w:hint="eastAsia" w:ascii="微软雅黑" w:hAnsi="微软雅黑" w:cs="微软雅黑"/>
          <w:b/>
          <w:bCs/>
          <w:szCs w:val="21"/>
          <w:lang w:val="zh-CN"/>
        </w:rPr>
        <w:br w:type="page" w:clear="all"/>
      </w:r>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r/>
    </w:p>
    <w:p>
      <w:pPr>
        <w:pStyle w:val="1162"/>
        <w:spacing w:line="3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15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ascii="微软雅黑" w:hAnsi="微软雅黑" w:cs="微软雅黑"/>
                <w:b/>
                <w:bCs/>
                <w:szCs w:val="21"/>
              </w:rPr>
            </w:pPr>
            <w:r>
              <w:rPr>
                <w:rFonts w:hint="eastAsia" w:ascii="微软雅黑" w:hAnsi="微软雅黑" w:cs="微软雅黑"/>
                <w:b/>
                <w:bCs/>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jc w:val="left"/>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软件和信息技术服务</w:t>
            </w:r>
            <w:r>
              <w:rPr>
                <w:rFonts w:hint="eastAsia" w:ascii="微软雅黑" w:hAnsi="微软雅黑" w:eastAsia="微软雅黑" w:cs="微软雅黑"/>
                <w:b/>
                <w:szCs w:val="21"/>
              </w:rPr>
              <w:t xml:space="preserve">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9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158"/>
        <w:ind w:firstLine="376"/>
        <w:spacing w:line="300" w:lineRule="exact"/>
        <w:rPr>
          <w:rFonts w:ascii="微软雅黑" w:hAnsi="微软雅黑" w:cs="微软雅黑"/>
          <w:spacing w:val="-3"/>
        </w:rPr>
      </w:pPr>
      <w:r>
        <w:rPr>
          <w:rFonts w:hint="eastAsia" w:ascii="微软雅黑" w:hAnsi="微软雅黑" w:cs="微软雅黑"/>
          <w:spacing w:val="-11"/>
        </w:rPr>
        <w:t xml:space="preserve">说明：上述标准参照《关于印发中小企业划型标准规定的通知</w:t>
      </w:r>
      <w:r>
        <w:rPr>
          <w:rFonts w:hint="eastAsia" w:ascii="微软雅黑" w:hAnsi="微软雅黑" w:cs="微软雅黑"/>
          <w:spacing w:val="-157"/>
        </w:rPr>
        <w:t xml:space="preserve">》</w:t>
      </w:r>
      <w:r>
        <w:rPr>
          <w:rFonts w:hint="eastAsia" w:ascii="微软雅黑" w:hAnsi="微软雅黑" w:cs="微软雅黑"/>
          <w:spacing w:val="-3"/>
        </w:rPr>
        <w:t xml:space="preserve">》（</w:t>
      </w:r>
      <w:r>
        <w:rPr>
          <w:rFonts w:hint="eastAsia" w:ascii="微软雅黑" w:hAnsi="微软雅黑" w:cs="微软雅黑"/>
          <w:spacing w:val="-11"/>
        </w:rPr>
        <w:t xml:space="preserve">工信部联企业〔</w:t>
      </w:r>
      <w:r>
        <w:rPr>
          <w:rFonts w:hint="eastAsia" w:ascii="微软雅黑" w:hAnsi="微软雅黑" w:cs="微软雅黑"/>
        </w:rPr>
        <w:t xml:space="preserve">2011〕300号</w:t>
      </w:r>
      <w:r>
        <w:rPr>
          <w:rFonts w:hint="eastAsia" w:ascii="微软雅黑" w:hAnsi="微软雅黑" w:cs="微软雅黑"/>
          <w:spacing w:val="-108"/>
        </w:rPr>
        <w:t xml:space="preserve">）</w:t>
      </w:r>
      <w:r>
        <w:rPr>
          <w:rFonts w:hint="eastAsia" w:ascii="微软雅黑" w:hAnsi="微软雅黑" w:cs="微软雅黑"/>
          <w:spacing w:val="-3"/>
        </w:rPr>
        <w:t xml:space="preserve">），大型、中型和小型企业须同时满足所列指标的下限，否则下划一档；微型企业只须满足所列指标中的一项即可。</w:t>
      </w:r>
      <w:r/>
    </w:p>
    <w:p>
      <w:pPr>
        <w:pStyle w:val="1148"/>
        <w:spacing w:line="300" w:lineRule="exact"/>
        <w:rPr>
          <w:rFonts w:ascii="微软雅黑" w:hAnsi="微软雅黑" w:eastAsia="微软雅黑" w:cs="微软雅黑"/>
          <w:szCs w:val="24"/>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ascii="微软雅黑" w:hAnsi="微软雅黑" w:eastAsia="微软雅黑" w:cs="微软雅黑"/>
          <w:szCs w:val="24"/>
        </w:rPr>
      </w:r>
      <w:r/>
    </w:p>
    <w:p>
      <w:pPr>
        <w:pStyle w:val="1148"/>
        <w:spacing w:line="420" w:lineRule="exact"/>
        <w:rPr>
          <w:rFonts w:ascii="微软雅黑" w:hAnsi="微软雅黑" w:eastAsia="微软雅黑" w:cs="微软雅黑"/>
          <w:b/>
          <w:bCs/>
          <w:sz w:val="24"/>
          <w:szCs w:val="24"/>
        </w:rPr>
      </w:pPr>
      <w:r/>
      <w:bookmarkStart w:id="431" w:name="_Toc65"/>
      <w:r>
        <w:rPr>
          <w:rFonts w:hint="eastAsia" w:ascii="微软雅黑" w:hAnsi="微软雅黑" w:eastAsia="微软雅黑" w:cs="微软雅黑"/>
          <w:b/>
          <w:bCs/>
          <w:sz w:val="24"/>
          <w:szCs w:val="24"/>
        </w:rPr>
        <w:t xml:space="preserve">附件2.残疾人福利性单位声明函</w:t>
      </w:r>
      <w:bookmarkEnd w:id="431"/>
      <w:r/>
      <w:r/>
    </w:p>
    <w:p>
      <w:pPr>
        <w:rPr>
          <w:rFonts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p>
    <w:p>
      <w:pPr>
        <w:rPr>
          <w:rFonts w:ascii="微软雅黑" w:hAnsi="微软雅黑" w:cs="微软雅黑"/>
        </w:rPr>
      </w:pPr>
      <w:r>
        <w:rPr>
          <w:rFonts w:ascii="微软雅黑" w:hAnsi="微软雅黑" w:cs="微软雅黑"/>
        </w:rPr>
      </w:r>
      <w:r/>
    </w:p>
    <w:p>
      <w:pPr>
        <w:pStyle w:val="1183"/>
        <w:ind w:firstLine="420"/>
        <w:jc w:val="center"/>
        <w:spacing w:before="106" w:beforeAutospacing="0" w:after="106" w:afterAutospacing="0" w:line="30" w:lineRule="atLeast"/>
        <w:rPr>
          <w:rFonts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183"/>
        <w:ind w:firstLine="420"/>
        <w:jc w:val="both"/>
        <w:spacing w:before="106" w:beforeAutospacing="0" w:after="106" w:afterAutospacing="0"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单位的</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83"/>
        <w:ind w:firstLine="420"/>
        <w:jc w:val="both"/>
        <w:spacing w:before="106" w:beforeAutospacing="0" w:after="106" w:afterAutospacing="0"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183"/>
        <w:ind w:firstLine="420"/>
        <w:jc w:val="both"/>
        <w:spacing w:before="106" w:beforeAutospacing="0" w:after="106" w:afterAutospacing="0" w:line="30" w:lineRule="atLeast"/>
        <w:rPr>
          <w:rFonts w:ascii="微软雅黑" w:hAnsi="微软雅黑" w:eastAsia="微软雅黑" w:cs="微软雅黑"/>
          <w:sz w:val="21"/>
          <w:szCs w:val="21"/>
        </w:rPr>
      </w:pPr>
      <w:r>
        <w:rPr>
          <w:rFonts w:ascii="微软雅黑" w:hAnsi="微软雅黑" w:eastAsia="微软雅黑" w:cs="微软雅黑"/>
          <w:sz w:val="21"/>
          <w:szCs w:val="21"/>
        </w:rPr>
      </w:r>
      <w:r/>
    </w:p>
    <w:p>
      <w:pPr>
        <w:pStyle w:val="1183"/>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pStyle w:val="1183"/>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pPr>
        <w:rPr>
          <w:rFonts w:ascii="微软雅黑" w:hAnsi="微软雅黑" w:cs="微软雅黑"/>
        </w:rPr>
      </w:pPr>
      <w:r>
        <w:rPr>
          <w:rFonts w:ascii="微软雅黑" w:hAnsi="微软雅黑" w:cs="微软雅黑"/>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Cambria">
    <w:panose1 w:val="02040503050406030204"/>
  </w:font>
  <w:font w:name="楷体_GB2312">
    <w:panose1 w:val="02010609060101010101"/>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04891" cy="301572"/>
              <wp:effectExtent l="6350" t="6350" r="6350" b="6350"/>
              <wp:wrapNone/>
              <wp:docPr id="8" name="文本框 4"/>
              <wp:cNvGraphicFramePr/>
              <a:graphic xmlns:a="http://schemas.openxmlformats.org/drawingml/2006/main">
                <a:graphicData uri="http://schemas.microsoft.com/office/word/2010/wordprocessingShape">
                  <wps:wsp>
                    <wps:cNvPr id="0" name=""/>
                    <wps:cNvSpPr txBox="1"/>
                    <wps:spPr bwMode="auto">
                      <a:xfrm flipH="0" flipV="0">
                        <a:off x="0" y="0"/>
                        <a:ext cx="1004891" cy="301572"/>
                      </a:xfrm>
                      <a:prstGeom prst="rect">
                        <a:avLst/>
                      </a:prstGeom>
                      <a:noFill/>
                      <a:ln>
                        <a:noFill/>
                      </a:ln>
                    </wps:spPr>
                    <wps:txbx>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square" lIns="0" tIns="0" rIns="0" bIns="0" upright="1">
                      <a:no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79.1pt;height:23.7pt;mso-wrap-distance-left:9.0pt;mso-wrap-distance-top:0.0pt;mso-wrap-distance-right:9.0pt;mso-wrap-distance-bottom:0.0pt;visibility:visible;" filled="f" stroked="f">
              <v:textbox inset="0,0,0,0">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56631" cy="301572"/>
              <wp:effectExtent l="6350" t="6350" r="6350" b="6350"/>
              <wp:wrapNone/>
              <wp:docPr id="9" name="文本框 5"/>
              <wp:cNvGraphicFramePr/>
              <a:graphic xmlns:a="http://schemas.openxmlformats.org/drawingml/2006/main">
                <a:graphicData uri="http://schemas.microsoft.com/office/word/2010/wordprocessingShape">
                  <wps:wsp>
                    <wps:cNvPr id="0" name=""/>
                    <wps:cNvSpPr txBox="1"/>
                    <wps:spPr bwMode="auto">
                      <a:xfrm flipH="0" flipV="0">
                        <a:off x="0" y="0"/>
                        <a:ext cx="1156631" cy="301572"/>
                      </a:xfrm>
                      <a:prstGeom prst="rect">
                        <a:avLst/>
                      </a:prstGeom>
                      <a:noFill/>
                      <a:ln>
                        <a:noFill/>
                      </a:ln>
                    </wps:spPr>
                    <wps:txbx>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square" lIns="0" tIns="0" rIns="0" bIns="0" upright="1">
                      <a:no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91.1pt;height:23.7pt;mso-wrap-distance-left:9.0pt;mso-wrap-distance-top:0.0pt;mso-wrap-distance-right:9.0pt;mso-wrap-distance-bottom:0.0pt;visibility:visible;" filled="f" stroked="f">
              <v:textbox inset="0,0,0,0">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p>
    <w:pPr>
      <w:pStyle w:val="13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97123" cy="301572"/>
              <wp:effectExtent l="6350" t="6350" r="6350" b="6350"/>
              <wp:wrapNone/>
              <wp:docPr id="10" name="文本框 6"/>
              <wp:cNvGraphicFramePr/>
              <a:graphic xmlns:a="http://schemas.openxmlformats.org/drawingml/2006/main">
                <a:graphicData uri="http://schemas.microsoft.com/office/word/2010/wordprocessingShape">
                  <wps:wsp>
                    <wps:cNvPr id="0" name=""/>
                    <wps:cNvSpPr txBox="1"/>
                    <wps:spPr bwMode="auto">
                      <a:xfrm flipH="0" flipV="0">
                        <a:off x="0" y="0"/>
                        <a:ext cx="1197123" cy="301572"/>
                      </a:xfrm>
                      <a:prstGeom prst="rect">
                        <a:avLst/>
                      </a:prstGeom>
                      <a:noFill/>
                      <a:ln>
                        <a:noFill/>
                      </a:ln>
                    </wps:spPr>
                    <wps:txbx>
                      <w:txbxContent>
                        <w:p>
                          <w:pPr>
                            <w:pStyle w:val="1378"/>
                            <w:ind w:firstLine="0"/>
                            <w:jc w:val="left"/>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square" lIns="0" tIns="0" rIns="0" bIns="0" upright="1">
                      <a:no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94.3pt;height:23.7pt;mso-wrap-distance-left:9.0pt;mso-wrap-distance-top:0.0pt;mso-wrap-distance-right:9.0pt;mso-wrap-distance-bottom:0.0pt;visibility:visible;" filled="f" stroked="f">
              <v:textbox inset="0,0,0,0">
                <w:txbxContent>
                  <w:p>
                    <w:pPr>
                      <w:pStyle w:val="1378"/>
                      <w:ind w:firstLine="0"/>
                      <w:jc w:val="left"/>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p>
    <w:pPr>
      <w:pStyle w:val="137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162921" cy="228739"/>
              <wp:effectExtent l="6350" t="6350" r="6350" b="6350"/>
              <wp:wrapNone/>
              <wp:docPr id="11" name="文本框 31"/>
              <wp:cNvGraphicFramePr/>
              <a:graphic xmlns:a="http://schemas.openxmlformats.org/drawingml/2006/main">
                <a:graphicData uri="http://schemas.microsoft.com/office/word/2010/wordprocessingShape">
                  <wps:wsp>
                    <wps:cNvPr id="0" name=""/>
                    <wps:cNvSpPr txBox="1"/>
                    <wps:spPr bwMode="auto">
                      <a:xfrm flipH="0" flipV="0">
                        <a:off x="0" y="0"/>
                        <a:ext cx="1162920" cy="228739"/>
                      </a:xfrm>
                      <a:prstGeom prst="rect">
                        <a:avLst/>
                      </a:prstGeom>
                      <a:noFill/>
                      <a:ln>
                        <a:noFill/>
                      </a:ln>
                    </wps:spPr>
                    <wps:txbx>
                      <w:txbxContent>
                        <w:p>
                          <w:pPr>
                            <w:pStyle w:val="117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vert="horz" wrap="square" lIns="0" tIns="0" rIns="0" bIns="0" anchor="t" anchorCtr="0">
                      <a:no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91.6pt;height:18.0pt;mso-wrap-distance-left:9.0pt;mso-wrap-distance-top:0.0pt;mso-wrap-distance-right:9.0pt;mso-wrap-distance-bottom:0.0pt;v-text-anchor:top;visibility:visible;" filled="f" stroked="f">
              <v:textbox inset="0,0,0,0">
                <w:txbxContent>
                  <w:p>
                    <w:pPr>
                      <w:pStyle w:val="117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65505" cy="301572"/>
              <wp:effectExtent l="6350" t="6350" r="6350" b="6350"/>
              <wp:wrapNone/>
              <wp:docPr id="12" name="文本框 7"/>
              <wp:cNvGraphicFramePr/>
              <a:graphic xmlns:a="http://schemas.openxmlformats.org/drawingml/2006/main">
                <a:graphicData uri="http://schemas.microsoft.com/office/word/2010/wordprocessingShape">
                  <wps:wsp>
                    <wps:cNvPr id="0" name=""/>
                    <wps:cNvSpPr txBox="1"/>
                    <wps:spPr bwMode="auto">
                      <a:xfrm flipH="0" flipV="0">
                        <a:off x="0" y="0"/>
                        <a:ext cx="1065504" cy="301572"/>
                      </a:xfrm>
                      <a:prstGeom prst="rect">
                        <a:avLst/>
                      </a:prstGeom>
                      <a:noFill/>
                      <a:ln>
                        <a:noFill/>
                      </a:ln>
                    </wps:spPr>
                    <wps:txbx>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square" lIns="0" tIns="0" rIns="0" bIns="0" upright="1">
                      <a:no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83.9pt;height:23.7pt;mso-wrap-distance-left:9.0pt;mso-wrap-distance-top:0.0pt;mso-wrap-distance-right:9.0pt;mso-wrap-distance-bottom:0.0pt;visibility:visible;" filled="f" stroked="f">
              <v:textbox inset="0,0,0,0">
                <w:txbxContent>
                  <w:p>
                    <w:pPr>
                      <w:pStyle w:val="1378"/>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p>
    <w:pPr>
      <w:pStyle w:val="13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苏采云编号待定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JSHC-2026040202B2</w:t>
    </w:r>
    <w:r/>
  </w:p>
  <w:p>
    <w:pPr>
      <w:pStyle w:val="138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JSHC-2026040202B2</w:t>
    </w:r>
    <w:r/>
  </w:p>
  <w:p>
    <w:pPr>
      <w:pStyle w:val="1380"/>
      <w:jc w:val="both"/>
      <w:rPr>
        <w:rFonts w:ascii="仿宋" w:hAnsi="仿宋" w:eastAsia="仿宋" w:cs="仿宋"/>
      </w:rPr>
      <w:pBdr>
        <w:bottom w:val="none" w:color="auto" w:sz="0" w:space="1"/>
      </w:pBdr>
    </w:pPr>
    <w:r>
      <w:rPr>
        <w:rFonts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JSHC-2026040202B2</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JSHC-2026040202B2</w:t>
    </w:r>
    <w:r/>
  </w:p>
  <w:p>
    <w:pPr>
      <w:pStyle w:val="138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97"/>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9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56"/>
      <w:isLgl w:val="false"/>
      <w:suff w:val="tab"/>
      <w:lvlText w:val="%1)"/>
      <w:lvlJc w:val="left"/>
      <w:pPr>
        <w:ind w:left="990" w:hanging="360"/>
        <w:tabs>
          <w:tab w:val="left" w:pos="990" w:leader="none"/>
        </w:tabs>
      </w:pPr>
      <w:rPr>
        <w:rFonts w:hint="eastAsia"/>
      </w:rPr>
    </w:lvl>
    <w:lvl w:ilvl="1">
      <w:start w:val="1"/>
      <w:numFmt w:val="lowerLetter"/>
      <w:pStyle w:val="1482"/>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1"/>
      <w:numFmt w:val="bullet"/>
      <w:pStyle w:val="1530"/>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japaneseCounting"/>
      <w:pStyle w:val="1535"/>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84"/>
      <w:isLgl w:val="false"/>
      <w:suff w:val="tab"/>
      <w:lvlText w:val="%1."/>
      <w:lvlJc w:val="left"/>
      <w:pPr>
        <w:tabs>
          <w:tab w:val="left" w:pos="360" w:leader="none"/>
        </w:tabs>
      </w:pPr>
      <w:rPr>
        <w:rFonts w:hint="eastAsia"/>
      </w:rPr>
    </w:lvl>
    <w:lvl w:ilvl="1">
      <w:start w:val="1"/>
      <w:numFmt w:val="decimal"/>
      <w:pStyle w:val="1489"/>
      <w:isLgl w:val="false"/>
      <w:suff w:val="tab"/>
      <w:lvlText w:val="%1.%2"/>
      <w:lvlJc w:val="left"/>
      <w:pPr>
        <w:tabs>
          <w:tab w:val="left" w:pos="720" w:leader="none"/>
        </w:tabs>
      </w:pPr>
      <w:rPr>
        <w:rFonts w:hint="eastAsia"/>
        <w:b w:val="0"/>
        <w:bCs w:val="0"/>
        <w:i w:val="0"/>
        <w:iCs w:val="0"/>
      </w:rPr>
    </w:lvl>
    <w:lvl w:ilvl="2">
      <w:start w:val="1"/>
      <w:numFmt w:val="decimal"/>
      <w:pStyle w:val="1496"/>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0"/>
  </w:num>
  <w:num w:numId="2">
    <w:abstractNumId w:val="17"/>
  </w:num>
  <w:num w:numId="3">
    <w:abstractNumId w:val="7"/>
  </w:num>
  <w:num w:numId="4">
    <w:abstractNumId w:val="0"/>
  </w:num>
  <w:num w:numId="5">
    <w:abstractNumId w:val="11"/>
  </w:num>
  <w:num w:numId="6">
    <w:abstractNumId w:val="13"/>
  </w:num>
  <w:num w:numId="7">
    <w:abstractNumId w:val="16"/>
  </w:num>
  <w:num w:numId="8">
    <w:abstractNumId w:val="5"/>
  </w:num>
  <w:num w:numId="9">
    <w:abstractNumId w:val="9"/>
  </w:num>
  <w:num w:numId="10">
    <w:abstractNumId w:val="4"/>
  </w:num>
  <w:num w:numId="11">
    <w:abstractNumId w:val="3"/>
  </w:num>
  <w:num w:numId="12">
    <w:abstractNumId w:val="2"/>
  </w:num>
  <w:num w:numId="13">
    <w:abstractNumId w:val="1"/>
  </w:num>
  <w:num w:numId="14">
    <w:abstractNumId w:val="12"/>
  </w:num>
  <w:num w:numId="15">
    <w:abstractNumId w:val="8"/>
  </w:num>
  <w:num w:numId="16">
    <w:abstractNumId w:val="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09">
    <w:name w:val="Heading 1 Char"/>
    <w:basedOn w:val="1155"/>
    <w:link w:val="1146"/>
    <w:uiPriority w:val="9"/>
    <w:rPr>
      <w:rFonts w:ascii="Arial" w:hAnsi="Arial" w:eastAsia="Arial" w:cs="Arial"/>
      <w:sz w:val="40"/>
      <w:szCs w:val="40"/>
    </w:rPr>
  </w:style>
  <w:style w:type="character" w:styleId="1110">
    <w:name w:val="Heading 2 Char"/>
    <w:basedOn w:val="1155"/>
    <w:link w:val="1147"/>
    <w:uiPriority w:val="9"/>
    <w:rPr>
      <w:rFonts w:ascii="Arial" w:hAnsi="Arial" w:eastAsia="Arial" w:cs="Arial"/>
      <w:sz w:val="34"/>
    </w:rPr>
  </w:style>
  <w:style w:type="character" w:styleId="1111">
    <w:name w:val="Heading 3 Char"/>
    <w:basedOn w:val="1155"/>
    <w:link w:val="1148"/>
    <w:uiPriority w:val="9"/>
    <w:rPr>
      <w:rFonts w:ascii="Arial" w:hAnsi="Arial" w:eastAsia="Arial" w:cs="Arial"/>
      <w:sz w:val="30"/>
      <w:szCs w:val="30"/>
    </w:rPr>
  </w:style>
  <w:style w:type="character" w:styleId="1112">
    <w:name w:val="Heading 4 Char"/>
    <w:basedOn w:val="1155"/>
    <w:link w:val="1149"/>
    <w:uiPriority w:val="9"/>
    <w:rPr>
      <w:rFonts w:ascii="Arial" w:hAnsi="Arial" w:eastAsia="Arial" w:cs="Arial"/>
      <w:b/>
      <w:bCs/>
      <w:sz w:val="26"/>
      <w:szCs w:val="26"/>
    </w:rPr>
  </w:style>
  <w:style w:type="character" w:styleId="1113">
    <w:name w:val="Heading 5 Char"/>
    <w:basedOn w:val="1155"/>
    <w:link w:val="1150"/>
    <w:uiPriority w:val="9"/>
    <w:rPr>
      <w:rFonts w:ascii="Arial" w:hAnsi="Arial" w:eastAsia="Arial" w:cs="Arial"/>
      <w:b/>
      <w:bCs/>
      <w:sz w:val="24"/>
      <w:szCs w:val="24"/>
    </w:rPr>
  </w:style>
  <w:style w:type="character" w:styleId="1114">
    <w:name w:val="Heading 6 Char"/>
    <w:basedOn w:val="1155"/>
    <w:link w:val="1151"/>
    <w:uiPriority w:val="9"/>
    <w:rPr>
      <w:rFonts w:ascii="Arial" w:hAnsi="Arial" w:eastAsia="Arial" w:cs="Arial"/>
      <w:b/>
      <w:bCs/>
      <w:sz w:val="22"/>
      <w:szCs w:val="22"/>
    </w:rPr>
  </w:style>
  <w:style w:type="character" w:styleId="1115">
    <w:name w:val="Heading 7 Char"/>
    <w:basedOn w:val="1155"/>
    <w:link w:val="1152"/>
    <w:uiPriority w:val="9"/>
    <w:rPr>
      <w:rFonts w:ascii="Arial" w:hAnsi="Arial" w:eastAsia="Arial" w:cs="Arial"/>
      <w:b/>
      <w:bCs/>
      <w:i/>
      <w:iCs/>
      <w:sz w:val="22"/>
      <w:szCs w:val="22"/>
    </w:rPr>
  </w:style>
  <w:style w:type="character" w:styleId="1116">
    <w:name w:val="Heading 8 Char"/>
    <w:basedOn w:val="1155"/>
    <w:link w:val="1153"/>
    <w:uiPriority w:val="9"/>
    <w:rPr>
      <w:rFonts w:ascii="Arial" w:hAnsi="Arial" w:eastAsia="Arial" w:cs="Arial"/>
      <w:i/>
      <w:iCs/>
      <w:sz w:val="22"/>
      <w:szCs w:val="22"/>
    </w:rPr>
  </w:style>
  <w:style w:type="character" w:styleId="1117">
    <w:name w:val="Heading 9 Char"/>
    <w:basedOn w:val="1155"/>
    <w:link w:val="1154"/>
    <w:uiPriority w:val="9"/>
    <w:rPr>
      <w:rFonts w:ascii="Arial" w:hAnsi="Arial" w:eastAsia="Arial" w:cs="Arial"/>
      <w:i/>
      <w:iCs/>
      <w:sz w:val="21"/>
      <w:szCs w:val="21"/>
    </w:rPr>
  </w:style>
  <w:style w:type="character" w:styleId="1118">
    <w:name w:val="Title Char"/>
    <w:basedOn w:val="1155"/>
    <w:link w:val="1184"/>
    <w:uiPriority w:val="10"/>
    <w:rPr>
      <w:sz w:val="48"/>
      <w:szCs w:val="48"/>
    </w:rPr>
  </w:style>
  <w:style w:type="character" w:styleId="1119">
    <w:name w:val="Subtitle Char"/>
    <w:basedOn w:val="1155"/>
    <w:link w:val="1177"/>
    <w:uiPriority w:val="11"/>
    <w:rPr>
      <w:sz w:val="24"/>
      <w:szCs w:val="24"/>
    </w:rPr>
  </w:style>
  <w:style w:type="character" w:styleId="1120">
    <w:name w:val="Quote Char"/>
    <w:link w:val="1214"/>
    <w:uiPriority w:val="29"/>
    <w:rPr>
      <w:i/>
    </w:rPr>
  </w:style>
  <w:style w:type="character" w:styleId="1121">
    <w:name w:val="Header Char"/>
    <w:basedOn w:val="1155"/>
    <w:link w:val="1175"/>
    <w:uiPriority w:val="99"/>
  </w:style>
  <w:style w:type="character" w:styleId="1122">
    <w:name w:val="Caption Char"/>
    <w:basedOn w:val="1160"/>
    <w:link w:val="1174"/>
    <w:uiPriority w:val="99"/>
  </w:style>
  <w:style w:type="table" w:styleId="1123">
    <w:name w:val="Plain Table 1"/>
    <w:basedOn w:val="11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4">
    <w:name w:val="Plain Table 2"/>
    <w:basedOn w:val="11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5">
    <w:name w:val="Plain Table 3"/>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6">
    <w:name w:val="Plain Table 4"/>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name w:val="Plain Table 5"/>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8">
    <w:name w:val="Grid Table 1 Light"/>
    <w:basedOn w:val="11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9">
    <w:name w:val="Grid Table 2"/>
    <w:basedOn w:val="11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0">
    <w:name w:val="Grid Table 3"/>
    <w:basedOn w:val="11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4"/>
    <w:basedOn w:val="11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2">
    <w:name w:val="Grid Table 5 Dark"/>
    <w:basedOn w:val="11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6 Colorful"/>
    <w:basedOn w:val="11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4">
    <w:name w:val="Grid Table 7 Colorful"/>
    <w:basedOn w:val="11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5">
    <w:name w:val="List Table 1 Light"/>
    <w:basedOn w:val="11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name w:val="List Table 2"/>
    <w:basedOn w:val="11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7">
    <w:name w:val="List Table 3"/>
    <w:basedOn w:val="11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8">
    <w:name w:val="List Table 4"/>
    <w:basedOn w:val="11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5 Dark"/>
    <w:basedOn w:val="11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6 Colorful"/>
    <w:basedOn w:val="11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1">
    <w:name w:val="List Table 7 Colorful"/>
    <w:basedOn w:val="11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42">
    <w:name w:val="Footnote Text Char"/>
    <w:link w:val="1178"/>
    <w:uiPriority w:val="99"/>
    <w:rPr>
      <w:sz w:val="18"/>
    </w:rPr>
  </w:style>
  <w:style w:type="character" w:styleId="1143">
    <w:name w:val="Endnote Text Char"/>
    <w:link w:val="1172"/>
    <w:uiPriority w:val="99"/>
    <w:rPr>
      <w:sz w:val="20"/>
    </w:rPr>
  </w:style>
  <w:style w:type="paragraph" w:styleId="1144">
    <w:name w:val="TOC Heading"/>
    <w:uiPriority w:val="39"/>
    <w:unhideWhenUsed/>
  </w:style>
  <w:style w:type="paragraph" w:styleId="1145" w:default="1">
    <w:name w:val="Normal"/>
    <w:next w:val="1157"/>
    <w:uiPriority w:val="0"/>
    <w:qFormat/>
    <w:pPr>
      <w:jc w:val="both"/>
      <w:widowControl w:val="off"/>
    </w:pPr>
    <w:rPr>
      <w:rFonts w:ascii="Times New Roman" w:hAnsi="Times New Roman" w:eastAsia="微软雅黑" w:cs="Times New Roman"/>
      <w:sz w:val="21"/>
      <w:szCs w:val="22"/>
      <w:lang w:val="en-US" w:eastAsia="zh-CN" w:bidi="ar-SA"/>
    </w:rPr>
  </w:style>
  <w:style w:type="paragraph" w:styleId="1146">
    <w:name w:val="Heading 1"/>
    <w:basedOn w:val="1145"/>
    <w:next w:val="1145"/>
    <w:link w:val="1203"/>
    <w:uiPriority w:val="9"/>
    <w:qFormat/>
    <w:pPr>
      <w:keepLines/>
      <w:keepNext/>
      <w:spacing w:before="480" w:after="200"/>
      <w:outlineLvl w:val="0"/>
    </w:pPr>
    <w:rPr>
      <w:rFonts w:ascii="Arial" w:hAnsi="Arial" w:eastAsia="Arial" w:cs="Arial"/>
      <w:sz w:val="40"/>
      <w:szCs w:val="40"/>
    </w:rPr>
  </w:style>
  <w:style w:type="paragraph" w:styleId="1147">
    <w:name w:val="Heading 2"/>
    <w:basedOn w:val="1146"/>
    <w:next w:val="1158"/>
    <w:link w:val="1197"/>
    <w:uiPriority w:val="9"/>
    <w:unhideWhenUsed/>
    <w:qFormat/>
    <w:pPr>
      <w:spacing w:before="360"/>
      <w:outlineLvl w:val="1"/>
    </w:pPr>
    <w:rPr>
      <w:sz w:val="34"/>
    </w:rPr>
  </w:style>
  <w:style w:type="paragraph" w:styleId="1148">
    <w:name w:val="Heading 3"/>
    <w:basedOn w:val="1145"/>
    <w:next w:val="1145"/>
    <w:link w:val="1204"/>
    <w:uiPriority w:val="9"/>
    <w:unhideWhenUsed/>
    <w:qFormat/>
    <w:pPr>
      <w:keepLines/>
      <w:keepNext/>
      <w:spacing w:before="320" w:after="200"/>
      <w:outlineLvl w:val="2"/>
    </w:pPr>
    <w:rPr>
      <w:rFonts w:ascii="Arial" w:hAnsi="Arial" w:eastAsia="Arial" w:cs="Arial"/>
      <w:sz w:val="30"/>
      <w:szCs w:val="30"/>
    </w:rPr>
  </w:style>
  <w:style w:type="paragraph" w:styleId="1149">
    <w:name w:val="Heading 4"/>
    <w:basedOn w:val="1145"/>
    <w:next w:val="1145"/>
    <w:link w:val="1205"/>
    <w:uiPriority w:val="9"/>
    <w:unhideWhenUsed/>
    <w:qFormat/>
    <w:pPr>
      <w:keepLines/>
      <w:keepNext/>
      <w:spacing w:before="320" w:after="200"/>
      <w:outlineLvl w:val="3"/>
    </w:pPr>
    <w:rPr>
      <w:rFonts w:ascii="Arial" w:hAnsi="Arial" w:eastAsia="Arial" w:cs="Arial"/>
      <w:b/>
      <w:bCs/>
      <w:sz w:val="26"/>
      <w:szCs w:val="26"/>
    </w:rPr>
  </w:style>
  <w:style w:type="paragraph" w:styleId="1150">
    <w:name w:val="Heading 5"/>
    <w:basedOn w:val="1145"/>
    <w:next w:val="1145"/>
    <w:link w:val="1206"/>
    <w:uiPriority w:val="9"/>
    <w:unhideWhenUsed/>
    <w:qFormat/>
    <w:pPr>
      <w:keepLines/>
      <w:keepNext/>
      <w:spacing w:before="320" w:after="200"/>
      <w:outlineLvl w:val="4"/>
    </w:pPr>
    <w:rPr>
      <w:rFonts w:ascii="Arial" w:hAnsi="Arial" w:eastAsia="Arial" w:cs="Arial"/>
      <w:b/>
      <w:bCs/>
      <w:sz w:val="24"/>
      <w:szCs w:val="24"/>
    </w:rPr>
  </w:style>
  <w:style w:type="paragraph" w:styleId="1151">
    <w:name w:val="Heading 6"/>
    <w:basedOn w:val="1145"/>
    <w:next w:val="1145"/>
    <w:link w:val="1207"/>
    <w:uiPriority w:val="9"/>
    <w:unhideWhenUsed/>
    <w:qFormat/>
    <w:pPr>
      <w:keepLines/>
      <w:keepNext/>
      <w:spacing w:before="320" w:after="200"/>
      <w:outlineLvl w:val="5"/>
    </w:pPr>
    <w:rPr>
      <w:rFonts w:ascii="Arial" w:hAnsi="Arial" w:eastAsia="Arial" w:cs="Arial"/>
      <w:b/>
      <w:bCs/>
      <w:sz w:val="22"/>
    </w:rPr>
  </w:style>
  <w:style w:type="paragraph" w:styleId="1152">
    <w:name w:val="Heading 7"/>
    <w:basedOn w:val="1145"/>
    <w:next w:val="1145"/>
    <w:link w:val="1208"/>
    <w:uiPriority w:val="9"/>
    <w:unhideWhenUsed/>
    <w:qFormat/>
    <w:pPr>
      <w:keepLines/>
      <w:keepNext/>
      <w:spacing w:before="320" w:after="200"/>
      <w:outlineLvl w:val="6"/>
    </w:pPr>
    <w:rPr>
      <w:rFonts w:ascii="Arial" w:hAnsi="Arial" w:eastAsia="Arial" w:cs="Arial"/>
      <w:b/>
      <w:bCs/>
      <w:i/>
      <w:iCs/>
      <w:sz w:val="22"/>
    </w:rPr>
  </w:style>
  <w:style w:type="paragraph" w:styleId="1153">
    <w:name w:val="Heading 8"/>
    <w:basedOn w:val="1145"/>
    <w:next w:val="1145"/>
    <w:link w:val="1209"/>
    <w:uiPriority w:val="9"/>
    <w:unhideWhenUsed/>
    <w:qFormat/>
    <w:pPr>
      <w:keepLines/>
      <w:keepNext/>
      <w:spacing w:before="320" w:after="200"/>
      <w:outlineLvl w:val="7"/>
    </w:pPr>
    <w:rPr>
      <w:rFonts w:ascii="Arial" w:hAnsi="Arial" w:eastAsia="Arial" w:cs="Arial"/>
      <w:i/>
      <w:iCs/>
      <w:sz w:val="22"/>
    </w:rPr>
  </w:style>
  <w:style w:type="paragraph" w:styleId="1154">
    <w:name w:val="Heading 9"/>
    <w:basedOn w:val="1145"/>
    <w:next w:val="1145"/>
    <w:link w:val="1210"/>
    <w:uiPriority w:val="9"/>
    <w:unhideWhenUsed/>
    <w:qFormat/>
    <w:pPr>
      <w:keepLines/>
      <w:keepNext/>
      <w:spacing w:before="320" w:after="200"/>
      <w:outlineLvl w:val="8"/>
    </w:pPr>
    <w:rPr>
      <w:rFonts w:ascii="Arial" w:hAnsi="Arial" w:eastAsia="Arial" w:cs="Arial"/>
      <w:i/>
      <w:iCs/>
      <w:szCs w:val="21"/>
    </w:rPr>
  </w:style>
  <w:style w:type="character" w:styleId="1155" w:default="1">
    <w:name w:val="Default Paragraph Font"/>
    <w:uiPriority w:val="1"/>
    <w:semiHidden/>
    <w:unhideWhenUsed/>
  </w:style>
  <w:style w:type="table" w:styleId="1156" w:default="1">
    <w:name w:val="Normal Table"/>
    <w:uiPriority w:val="99"/>
    <w:semiHidden/>
    <w:unhideWhenUsed/>
    <w:qFormat/>
    <w:tblPr>
      <w:tblCellMar>
        <w:left w:w="108" w:type="dxa"/>
        <w:top w:w="0" w:type="dxa"/>
        <w:right w:w="108" w:type="dxa"/>
        <w:bottom w:w="0" w:type="dxa"/>
      </w:tblCellMar>
    </w:tblPr>
  </w:style>
  <w:style w:type="paragraph" w:styleId="1157">
    <w:name w:val="toc 1"/>
    <w:basedOn w:val="1145"/>
    <w:next w:val="1145"/>
    <w:uiPriority w:val="39"/>
    <w:unhideWhenUsed/>
    <w:qFormat/>
    <w:rPr>
      <w:rFonts w:ascii="微软雅黑" w:hAnsi="微软雅黑" w:cs="微软雅黑"/>
      <w:b/>
    </w:rPr>
  </w:style>
  <w:style w:type="paragraph" w:styleId="1158">
    <w:name w:val="Normal Indent"/>
    <w:basedOn w:val="1145"/>
    <w:next w:val="1145"/>
    <w:uiPriority w:val="0"/>
    <w:qFormat/>
    <w:pPr>
      <w:ind w:firstLine="420"/>
    </w:pPr>
    <w:rPr>
      <w:rFonts w:asciiTheme="minorHAnsi" w:hAnsiTheme="minorHAnsi"/>
      <w:szCs w:val="21"/>
    </w:rPr>
  </w:style>
  <w:style w:type="paragraph" w:styleId="1159">
    <w:name w:val="toc 7"/>
    <w:basedOn w:val="1145"/>
    <w:next w:val="1145"/>
    <w:uiPriority w:val="39"/>
    <w:unhideWhenUsed/>
    <w:qFormat/>
    <w:pPr>
      <w:ind w:left="1701"/>
      <w:spacing w:after="57"/>
    </w:pPr>
  </w:style>
  <w:style w:type="paragraph" w:styleId="1160">
    <w:name w:val="Caption"/>
    <w:basedOn w:val="1145"/>
    <w:next w:val="11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1">
    <w:name w:val="annotation text"/>
    <w:basedOn w:val="1145"/>
    <w:uiPriority w:val="99"/>
    <w:semiHidden/>
    <w:unhideWhenUsed/>
    <w:qFormat/>
    <w:pPr>
      <w:jc w:val="left"/>
    </w:pPr>
  </w:style>
  <w:style w:type="paragraph" w:styleId="1162">
    <w:name w:val="Body Text"/>
    <w:basedOn w:val="1145"/>
    <w:next w:val="1163"/>
    <w:uiPriority w:val="0"/>
    <w:qFormat/>
    <w:rPr>
      <w:rFonts w:ascii="仿宋_GB2312" w:hAnsi="宋体" w:eastAsia="仿宋_GB2312"/>
      <w:sz w:val="24"/>
      <w:szCs w:val="24"/>
    </w:rPr>
  </w:style>
  <w:style w:type="paragraph" w:styleId="1163" w:customStyle="1">
    <w:name w:val="Default"/>
    <w:next w:val="1164"/>
    <w:uiPriority w:val="0"/>
    <w:qFormat/>
    <w:pPr>
      <w:widowControl w:val="off"/>
    </w:pPr>
    <w:rPr>
      <w:rFonts w:ascii="宋体" w:hAnsi="Times New Roman" w:eastAsia="宋体" w:cs="宋体"/>
      <w:color w:val="000000"/>
      <w:sz w:val="24"/>
      <w:szCs w:val="24"/>
      <w:lang w:val="en-US" w:eastAsia="zh-CN" w:bidi="ar-SA"/>
    </w:rPr>
  </w:style>
  <w:style w:type="paragraph" w:styleId="1164">
    <w:name w:val="Intense Quote"/>
    <w:basedOn w:val="1145"/>
    <w:next w:val="1145"/>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65">
    <w:name w:val="Body Text Indent"/>
    <w:basedOn w:val="1145"/>
    <w:next w:val="1166"/>
    <w:uiPriority w:val="0"/>
    <w:qFormat/>
    <w:pPr>
      <w:ind w:firstLine="645"/>
    </w:pPr>
    <w:rPr>
      <w:rFonts w:ascii="楷体_GB2312" w:eastAsia="楷体_GB2312"/>
      <w:sz w:val="32"/>
    </w:rPr>
  </w:style>
  <w:style w:type="paragraph" w:styleId="1166">
    <w:name w:val="envelope return"/>
    <w:basedOn w:val="1145"/>
    <w:uiPriority w:val="99"/>
    <w:unhideWhenUsed/>
    <w:qFormat/>
    <w:rPr>
      <w:rFonts w:ascii="Cambria" w:hAnsi="Cambria"/>
    </w:rPr>
  </w:style>
  <w:style w:type="paragraph" w:styleId="1167">
    <w:name w:val="index 4"/>
    <w:basedOn w:val="1145"/>
    <w:next w:val="1145"/>
    <w:uiPriority w:val="99"/>
    <w:unhideWhenUsed/>
    <w:qFormat/>
    <w:pPr>
      <w:ind w:left="600"/>
    </w:pPr>
    <w:rPr>
      <w:rFonts w:ascii="Verdana" w:hAnsi="Verdana"/>
      <w:szCs w:val="20"/>
    </w:rPr>
  </w:style>
  <w:style w:type="paragraph" w:styleId="1168">
    <w:name w:val="toc 5"/>
    <w:basedOn w:val="1145"/>
    <w:next w:val="1145"/>
    <w:uiPriority w:val="39"/>
    <w:unhideWhenUsed/>
    <w:qFormat/>
    <w:pPr>
      <w:ind w:left="1134"/>
      <w:spacing w:after="57"/>
    </w:pPr>
  </w:style>
  <w:style w:type="paragraph" w:styleId="1169">
    <w:name w:val="toc 3"/>
    <w:basedOn w:val="1145"/>
    <w:next w:val="1145"/>
    <w:uiPriority w:val="39"/>
    <w:unhideWhenUsed/>
    <w:qFormat/>
    <w:pPr>
      <w:ind w:left="567"/>
    </w:pPr>
    <w:rPr>
      <w:rFonts w:ascii="微软雅黑" w:hAnsi="微软雅黑" w:cs="微软雅黑"/>
    </w:rPr>
  </w:style>
  <w:style w:type="paragraph" w:styleId="1170">
    <w:name w:val="Plain Text"/>
    <w:basedOn w:val="1145"/>
    <w:uiPriority w:val="0"/>
    <w:qFormat/>
    <w:rPr>
      <w:rFonts w:ascii="宋体" w:hAnsi="Courier New" w:cs="Courier New"/>
      <w:szCs w:val="21"/>
    </w:rPr>
  </w:style>
  <w:style w:type="paragraph" w:styleId="1171">
    <w:name w:val="toc 8"/>
    <w:basedOn w:val="1145"/>
    <w:next w:val="1145"/>
    <w:uiPriority w:val="39"/>
    <w:unhideWhenUsed/>
    <w:qFormat/>
    <w:pPr>
      <w:ind w:left="1984"/>
      <w:spacing w:after="57"/>
    </w:pPr>
  </w:style>
  <w:style w:type="paragraph" w:styleId="1172">
    <w:name w:val="endnote text"/>
    <w:basedOn w:val="1145"/>
    <w:link w:val="1346"/>
    <w:uiPriority w:val="99"/>
    <w:semiHidden/>
    <w:unhideWhenUsed/>
    <w:qFormat/>
    <w:rPr>
      <w:sz w:val="20"/>
    </w:rPr>
  </w:style>
  <w:style w:type="paragraph" w:styleId="1173">
    <w:name w:val="Balloon Text"/>
    <w:basedOn w:val="1145"/>
    <w:link w:val="1544"/>
    <w:uiPriority w:val="99"/>
    <w:semiHidden/>
    <w:unhideWhenUsed/>
    <w:qFormat/>
    <w:rPr>
      <w:sz w:val="18"/>
      <w:szCs w:val="18"/>
    </w:rPr>
  </w:style>
  <w:style w:type="paragraph" w:styleId="1174">
    <w:name w:val="Footer"/>
    <w:basedOn w:val="1145"/>
    <w:link w:val="1219"/>
    <w:uiPriority w:val="99"/>
    <w:unhideWhenUsed/>
    <w:qFormat/>
    <w:pPr>
      <w:tabs>
        <w:tab w:val="center" w:pos="7143" w:leader="none"/>
        <w:tab w:val="right" w:pos="14287" w:leader="none"/>
      </w:tabs>
    </w:pPr>
  </w:style>
  <w:style w:type="paragraph" w:styleId="1175">
    <w:name w:val="Header"/>
    <w:basedOn w:val="1145"/>
    <w:link w:val="1217"/>
    <w:uiPriority w:val="99"/>
    <w:unhideWhenUsed/>
    <w:qFormat/>
    <w:pPr>
      <w:tabs>
        <w:tab w:val="center" w:pos="7143" w:leader="none"/>
        <w:tab w:val="right" w:pos="14287" w:leader="none"/>
      </w:tabs>
    </w:pPr>
  </w:style>
  <w:style w:type="paragraph" w:styleId="1176">
    <w:name w:val="toc 4"/>
    <w:basedOn w:val="1145"/>
    <w:next w:val="1145"/>
    <w:uiPriority w:val="39"/>
    <w:unhideWhenUsed/>
    <w:qFormat/>
    <w:pPr>
      <w:ind w:left="850"/>
      <w:spacing w:after="57"/>
    </w:pPr>
  </w:style>
  <w:style w:type="paragraph" w:styleId="1177">
    <w:name w:val="Subtitle"/>
    <w:basedOn w:val="1145"/>
    <w:next w:val="1145"/>
    <w:link w:val="1213"/>
    <w:uiPriority w:val="11"/>
    <w:qFormat/>
    <w:pPr>
      <w:spacing w:before="200" w:after="200"/>
    </w:pPr>
    <w:rPr>
      <w:sz w:val="24"/>
      <w:szCs w:val="24"/>
    </w:rPr>
  </w:style>
  <w:style w:type="paragraph" w:styleId="1178">
    <w:name w:val="footnote text"/>
    <w:basedOn w:val="1145"/>
    <w:link w:val="1345"/>
    <w:uiPriority w:val="99"/>
    <w:semiHidden/>
    <w:unhideWhenUsed/>
    <w:qFormat/>
    <w:pPr>
      <w:spacing w:after="40"/>
    </w:pPr>
    <w:rPr>
      <w:sz w:val="18"/>
    </w:rPr>
  </w:style>
  <w:style w:type="paragraph" w:styleId="1179">
    <w:name w:val="toc 6"/>
    <w:basedOn w:val="1145"/>
    <w:next w:val="1145"/>
    <w:uiPriority w:val="39"/>
    <w:unhideWhenUsed/>
    <w:qFormat/>
    <w:pPr>
      <w:ind w:left="1417"/>
      <w:spacing w:after="57"/>
    </w:pPr>
  </w:style>
  <w:style w:type="paragraph" w:styleId="1180">
    <w:name w:val="table of figures"/>
    <w:basedOn w:val="1145"/>
    <w:next w:val="1145"/>
    <w:uiPriority w:val="99"/>
    <w:unhideWhenUsed/>
    <w:qFormat/>
  </w:style>
  <w:style w:type="paragraph" w:styleId="1181">
    <w:name w:val="toc 2"/>
    <w:basedOn w:val="1145"/>
    <w:next w:val="1145"/>
    <w:uiPriority w:val="39"/>
    <w:unhideWhenUsed/>
    <w:qFormat/>
    <w:pPr>
      <w:ind w:left="283"/>
    </w:pPr>
    <w:rPr>
      <w:rFonts w:ascii="微软雅黑" w:hAnsi="微软雅黑" w:cs="微软雅黑"/>
    </w:rPr>
  </w:style>
  <w:style w:type="paragraph" w:styleId="1182">
    <w:name w:val="toc 9"/>
    <w:basedOn w:val="1145"/>
    <w:next w:val="1145"/>
    <w:uiPriority w:val="39"/>
    <w:unhideWhenUsed/>
    <w:qFormat/>
    <w:pPr>
      <w:ind w:left="2268"/>
      <w:spacing w:after="57"/>
    </w:pPr>
  </w:style>
  <w:style w:type="paragraph" w:styleId="1183">
    <w:name w:val="Normal (Web)"/>
    <w:basedOn w:val="114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84">
    <w:name w:val="Title"/>
    <w:basedOn w:val="1145"/>
    <w:next w:val="1145"/>
    <w:link w:val="1212"/>
    <w:uiPriority w:val="10"/>
    <w:qFormat/>
    <w:pPr>
      <w:contextualSpacing/>
      <w:spacing w:before="300" w:after="200"/>
    </w:pPr>
    <w:rPr>
      <w:sz w:val="48"/>
      <w:szCs w:val="48"/>
    </w:rPr>
  </w:style>
  <w:style w:type="table" w:styleId="11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6">
    <w:name w:val="Strong"/>
    <w:basedOn w:val="1155"/>
    <w:uiPriority w:val="22"/>
    <w:qFormat/>
    <w:rPr>
      <w:b/>
    </w:rPr>
  </w:style>
  <w:style w:type="character" w:styleId="1187">
    <w:name w:val="endnote reference"/>
    <w:uiPriority w:val="99"/>
    <w:semiHidden/>
    <w:unhideWhenUsed/>
    <w:qFormat/>
    <w:rPr>
      <w:vertAlign w:val="superscript"/>
    </w:rPr>
  </w:style>
  <w:style w:type="character" w:styleId="1188">
    <w:name w:val="Emphasis"/>
    <w:basedOn w:val="1155"/>
    <w:uiPriority w:val="20"/>
    <w:qFormat/>
    <w:rPr>
      <w:i/>
    </w:rPr>
  </w:style>
  <w:style w:type="character" w:styleId="1189">
    <w:name w:val="Hyperlink"/>
    <w:uiPriority w:val="99"/>
    <w:unhideWhenUsed/>
    <w:qFormat/>
    <w:rPr>
      <w:color w:val="0000ff" w:themeColor="hyperlink"/>
      <w:u w:val="single"/>
      <w14:textFill>
        <w14:solidFill>
          <w14:schemeClr w14:val="hlink"/>
        </w14:solidFill>
      </w14:textFill>
    </w:rPr>
  </w:style>
  <w:style w:type="character" w:styleId="1190">
    <w:name w:val="annotation reference"/>
    <w:basedOn w:val="1155"/>
    <w:uiPriority w:val="99"/>
    <w:semiHidden/>
    <w:unhideWhenUsed/>
    <w:qFormat/>
    <w:rPr>
      <w:sz w:val="21"/>
      <w:szCs w:val="21"/>
    </w:rPr>
  </w:style>
  <w:style w:type="character" w:styleId="1191">
    <w:name w:val="footnote reference"/>
    <w:uiPriority w:val="99"/>
    <w:unhideWhenUsed/>
    <w:qFormat/>
    <w:rPr>
      <w:vertAlign w:val="superscript"/>
    </w:rPr>
  </w:style>
  <w:style w:type="character" w:styleId="1192" w:customStyle="1">
    <w:name w:val="标题 3 字符"/>
    <w:link w:val="1193"/>
    <w:uiPriority w:val="0"/>
    <w:qFormat/>
    <w:rPr>
      <w:rFonts w:ascii="Times New Roman" w:hAnsi="Times New Roman" w:eastAsia="微软雅黑" w:cs="Times New Roman"/>
      <w:b/>
      <w:bCs/>
      <w:sz w:val="21"/>
      <w:szCs w:val="32"/>
    </w:rPr>
  </w:style>
  <w:style w:type="paragraph" w:styleId="1193" w:customStyle="1">
    <w:name w:val="标题 31"/>
    <w:basedOn w:val="1145"/>
    <w:next w:val="1194"/>
    <w:link w:val="1192"/>
    <w:uiPriority w:val="0"/>
    <w:qFormat/>
    <w:pPr>
      <w:jc w:val="left"/>
      <w:keepLines/>
      <w:keepNext/>
      <w:spacing w:line="440" w:lineRule="exact"/>
      <w:outlineLvl w:val="2"/>
    </w:pPr>
    <w:rPr>
      <w:b/>
      <w:bCs/>
      <w:szCs w:val="32"/>
    </w:rPr>
  </w:style>
  <w:style w:type="paragraph" w:styleId="1194" w:customStyle="1">
    <w:name w:val="正文缩进1"/>
    <w:basedOn w:val="1145"/>
    <w:uiPriority w:val="0"/>
    <w:qFormat/>
    <w:pPr>
      <w:ind w:firstLine="420"/>
      <w:jc w:val="left"/>
      <w:spacing w:line="360" w:lineRule="atLeast"/>
    </w:pPr>
    <w:rPr>
      <w:rFonts w:eastAsia="宋体"/>
      <w:szCs w:val="21"/>
    </w:rPr>
  </w:style>
  <w:style w:type="character" w:styleId="1195" w:customStyle="1">
    <w:name w:val="标题 4 字符"/>
    <w:link w:val="1196"/>
    <w:uiPriority w:val="0"/>
    <w:qFormat/>
    <w:rPr>
      <w:rFonts w:ascii="Arial" w:hAnsi="Arial"/>
      <w:b/>
      <w:bCs/>
      <w:sz w:val="24"/>
      <w:szCs w:val="28"/>
    </w:rPr>
  </w:style>
  <w:style w:type="paragraph" w:styleId="1196" w:customStyle="1">
    <w:name w:val="标题 41"/>
    <w:basedOn w:val="1145"/>
    <w:next w:val="1145"/>
    <w:link w:val="1195"/>
    <w:uiPriority w:val="0"/>
    <w:qFormat/>
    <w:pPr>
      <w:keepLines/>
      <w:keepNext/>
      <w:spacing w:line="360" w:lineRule="auto"/>
      <w:outlineLvl w:val="3"/>
    </w:pPr>
    <w:rPr>
      <w:rFonts w:ascii="Arial" w:hAnsi="Arial" w:eastAsia="宋体"/>
      <w:b/>
      <w:bCs/>
      <w:sz w:val="24"/>
      <w:szCs w:val="28"/>
    </w:rPr>
  </w:style>
  <w:style w:type="character" w:styleId="1197" w:customStyle="1">
    <w:name w:val="标题 2 Char"/>
    <w:link w:val="1147"/>
    <w:uiPriority w:val="9"/>
    <w:qFormat/>
    <w:rPr>
      <w:rFonts w:ascii="Arial" w:hAnsi="Arial" w:eastAsia="Arial" w:cs="Arial"/>
      <w:sz w:val="34"/>
    </w:rPr>
  </w:style>
  <w:style w:type="character" w:styleId="1198" w:customStyle="1">
    <w:name w:val="标题 5 字符"/>
    <w:link w:val="1199"/>
    <w:uiPriority w:val="0"/>
    <w:qFormat/>
    <w:rPr>
      <w:rFonts w:ascii="Calibri" w:hAnsi="Calibri"/>
      <w:b/>
      <w:bCs/>
      <w:sz w:val="28"/>
      <w:szCs w:val="28"/>
    </w:rPr>
  </w:style>
  <w:style w:type="paragraph" w:styleId="1199" w:customStyle="1">
    <w:name w:val="标题 51"/>
    <w:basedOn w:val="1145"/>
    <w:next w:val="1145"/>
    <w:link w:val="1198"/>
    <w:uiPriority w:val="0"/>
    <w:qFormat/>
    <w:pPr>
      <w:keepLines/>
      <w:keepNext/>
      <w:spacing w:before="280" w:after="290" w:line="376" w:lineRule="auto"/>
      <w:outlineLvl w:val="4"/>
    </w:pPr>
    <w:rPr>
      <w:rFonts w:ascii="Calibri" w:hAnsi="Calibri" w:eastAsia="宋体"/>
      <w:b/>
      <w:bCs/>
      <w:sz w:val="28"/>
      <w:szCs w:val="28"/>
    </w:rPr>
  </w:style>
  <w:style w:type="paragraph" w:styleId="1200" w:customStyle="1">
    <w:name w:val="正文首行缩进 21"/>
    <w:basedOn w:val="1201"/>
    <w:next w:val="1145"/>
    <w:uiPriority w:val="99"/>
    <w:qFormat/>
    <w:pPr>
      <w:ind w:firstLine="420"/>
      <w:spacing w:after="200" w:line="440" w:lineRule="exact"/>
    </w:pPr>
    <w:rPr>
      <w:rFonts w:ascii="Calibri" w:hAnsi="Calibri" w:eastAsia="宋体" w:cs="Calibri"/>
      <w:sz w:val="21"/>
      <w:szCs w:val="21"/>
    </w:rPr>
  </w:style>
  <w:style w:type="paragraph" w:styleId="1201" w:customStyle="1">
    <w:name w:val="正文文本缩进11"/>
    <w:basedOn w:val="1145"/>
    <w:next w:val="1202"/>
    <w:uiPriority w:val="0"/>
    <w:qFormat/>
    <w:pPr>
      <w:ind w:firstLine="645"/>
    </w:pPr>
    <w:rPr>
      <w:rFonts w:ascii="楷体_GB2312" w:eastAsia="楷体_GB2312"/>
      <w:sz w:val="32"/>
      <w:szCs w:val="32"/>
    </w:rPr>
  </w:style>
  <w:style w:type="paragraph" w:styleId="1202" w:customStyle="1">
    <w:name w:val="寄信人地址1"/>
    <w:basedOn w:val="1145"/>
    <w:uiPriority w:val="0"/>
    <w:qFormat/>
    <w:rPr>
      <w:rFonts w:ascii="Arial" w:hAnsi="Arial" w:eastAsia="宋体"/>
    </w:rPr>
  </w:style>
  <w:style w:type="character" w:styleId="1203" w:customStyle="1">
    <w:name w:val="标题 1 Char"/>
    <w:link w:val="1146"/>
    <w:uiPriority w:val="9"/>
    <w:qFormat/>
    <w:rPr>
      <w:rFonts w:ascii="Arial" w:hAnsi="Arial" w:eastAsia="Arial" w:cs="Arial"/>
      <w:sz w:val="40"/>
      <w:szCs w:val="40"/>
    </w:rPr>
  </w:style>
  <w:style w:type="character" w:styleId="1204" w:customStyle="1">
    <w:name w:val="标题 3 Char"/>
    <w:link w:val="1148"/>
    <w:uiPriority w:val="9"/>
    <w:qFormat/>
    <w:rPr>
      <w:rFonts w:ascii="Arial" w:hAnsi="Arial" w:eastAsia="Arial" w:cs="Arial"/>
      <w:sz w:val="30"/>
      <w:szCs w:val="30"/>
    </w:rPr>
  </w:style>
  <w:style w:type="character" w:styleId="1205" w:customStyle="1">
    <w:name w:val="标题 4 Char"/>
    <w:link w:val="1149"/>
    <w:uiPriority w:val="9"/>
    <w:qFormat/>
    <w:rPr>
      <w:rFonts w:ascii="Arial" w:hAnsi="Arial" w:eastAsia="Arial" w:cs="Arial"/>
      <w:b/>
      <w:bCs/>
      <w:sz w:val="26"/>
      <w:szCs w:val="26"/>
    </w:rPr>
  </w:style>
  <w:style w:type="character" w:styleId="1206" w:customStyle="1">
    <w:name w:val="标题 5 Char"/>
    <w:link w:val="1150"/>
    <w:uiPriority w:val="9"/>
    <w:qFormat/>
    <w:rPr>
      <w:rFonts w:ascii="Arial" w:hAnsi="Arial" w:eastAsia="Arial" w:cs="Arial"/>
      <w:b/>
      <w:bCs/>
      <w:sz w:val="24"/>
      <w:szCs w:val="24"/>
    </w:rPr>
  </w:style>
  <w:style w:type="character" w:styleId="1207" w:customStyle="1">
    <w:name w:val="标题 6 Char"/>
    <w:link w:val="1151"/>
    <w:uiPriority w:val="9"/>
    <w:qFormat/>
    <w:rPr>
      <w:rFonts w:ascii="Arial" w:hAnsi="Arial" w:eastAsia="Arial" w:cs="Arial"/>
      <w:b/>
      <w:bCs/>
      <w:sz w:val="22"/>
      <w:szCs w:val="22"/>
    </w:rPr>
  </w:style>
  <w:style w:type="character" w:styleId="1208" w:customStyle="1">
    <w:name w:val="标题 7 Char"/>
    <w:link w:val="1152"/>
    <w:uiPriority w:val="9"/>
    <w:qFormat/>
    <w:rPr>
      <w:rFonts w:ascii="Arial" w:hAnsi="Arial" w:eastAsia="Arial" w:cs="Arial"/>
      <w:b/>
      <w:bCs/>
      <w:i/>
      <w:iCs/>
      <w:sz w:val="22"/>
      <w:szCs w:val="22"/>
    </w:rPr>
  </w:style>
  <w:style w:type="character" w:styleId="1209" w:customStyle="1">
    <w:name w:val="标题 8 Char"/>
    <w:link w:val="1153"/>
    <w:uiPriority w:val="9"/>
    <w:qFormat/>
    <w:rPr>
      <w:rFonts w:ascii="Arial" w:hAnsi="Arial" w:eastAsia="Arial" w:cs="Arial"/>
      <w:i/>
      <w:iCs/>
      <w:sz w:val="22"/>
      <w:szCs w:val="22"/>
    </w:rPr>
  </w:style>
  <w:style w:type="character" w:styleId="1210" w:customStyle="1">
    <w:name w:val="标题 9 Char"/>
    <w:link w:val="1154"/>
    <w:uiPriority w:val="9"/>
    <w:qFormat/>
    <w:rPr>
      <w:rFonts w:ascii="Arial" w:hAnsi="Arial" w:eastAsia="Arial" w:cs="Arial"/>
      <w:i/>
      <w:iCs/>
      <w:sz w:val="21"/>
      <w:szCs w:val="21"/>
    </w:rPr>
  </w:style>
  <w:style w:type="paragraph" w:styleId="1211">
    <w:name w:val="No Spacing"/>
    <w:uiPriority w:val="1"/>
    <w:qFormat/>
    <w:rPr>
      <w:rFonts w:ascii="Times New Roman" w:hAnsi="Times New Roman" w:eastAsia="宋体" w:cs="Times New Roman"/>
      <w:lang w:val="en-US" w:eastAsia="zh-CN" w:bidi="ar-SA"/>
    </w:rPr>
  </w:style>
  <w:style w:type="character" w:styleId="1212" w:customStyle="1">
    <w:name w:val="标题 Char"/>
    <w:link w:val="1184"/>
    <w:uiPriority w:val="10"/>
    <w:qFormat/>
    <w:rPr>
      <w:sz w:val="48"/>
      <w:szCs w:val="48"/>
    </w:rPr>
  </w:style>
  <w:style w:type="character" w:styleId="1213" w:customStyle="1">
    <w:name w:val="副标题 Char"/>
    <w:link w:val="1177"/>
    <w:uiPriority w:val="11"/>
    <w:qFormat/>
    <w:rPr>
      <w:sz w:val="24"/>
      <w:szCs w:val="24"/>
    </w:rPr>
  </w:style>
  <w:style w:type="paragraph" w:styleId="1214">
    <w:name w:val="Quote"/>
    <w:basedOn w:val="1145"/>
    <w:next w:val="1145"/>
    <w:link w:val="1215"/>
    <w:uiPriority w:val="29"/>
    <w:qFormat/>
    <w:pPr>
      <w:ind w:left="720" w:right="720"/>
    </w:pPr>
    <w:rPr>
      <w:i/>
    </w:rPr>
  </w:style>
  <w:style w:type="character" w:styleId="1215" w:customStyle="1">
    <w:name w:val="引用 Char"/>
    <w:link w:val="1214"/>
    <w:uiPriority w:val="29"/>
    <w:qFormat/>
    <w:rPr>
      <w:i/>
    </w:rPr>
  </w:style>
  <w:style w:type="character" w:styleId="1216" w:customStyle="1">
    <w:name w:val="Intense Quote Char"/>
    <w:uiPriority w:val="30"/>
    <w:qFormat/>
    <w:rPr>
      <w:i/>
    </w:rPr>
  </w:style>
  <w:style w:type="character" w:styleId="1217" w:customStyle="1">
    <w:name w:val="页眉 Char"/>
    <w:link w:val="1175"/>
    <w:uiPriority w:val="99"/>
    <w:qFormat/>
  </w:style>
  <w:style w:type="character" w:styleId="1218" w:customStyle="1">
    <w:name w:val="Footer Char"/>
    <w:uiPriority w:val="99"/>
    <w:qFormat/>
  </w:style>
  <w:style w:type="character" w:styleId="1219" w:customStyle="1">
    <w:name w:val="页脚 Char"/>
    <w:link w:val="1174"/>
    <w:uiPriority w:val="99"/>
    <w:qFormat/>
  </w:style>
  <w:style w:type="table" w:styleId="12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5" w:customStyle="1">
    <w:name w:val="脚注文本 Char"/>
    <w:link w:val="1178"/>
    <w:uiPriority w:val="99"/>
    <w:qFormat/>
    <w:rPr>
      <w:sz w:val="18"/>
    </w:rPr>
  </w:style>
  <w:style w:type="character" w:styleId="1346" w:customStyle="1">
    <w:name w:val="尾注文本 Char"/>
    <w:link w:val="1172"/>
    <w:uiPriority w:val="99"/>
    <w:qFormat/>
    <w:rPr>
      <w:sz w:val="20"/>
    </w:rPr>
  </w:style>
  <w:style w:type="paragraph" w:styleId="1347" w:customStyle="1">
    <w:name w:val="TOC 标题1"/>
    <w:uiPriority w:val="39"/>
    <w:unhideWhenUsed/>
    <w:qFormat/>
    <w:rPr>
      <w:rFonts w:ascii="Times New Roman" w:hAnsi="Times New Roman" w:eastAsia="宋体" w:cs="Times New Roman"/>
      <w:lang w:val="en-US" w:eastAsia="zh-CN" w:bidi="ar-SA"/>
    </w:rPr>
  </w:style>
  <w:style w:type="paragraph" w:styleId="1348" w:customStyle="1">
    <w:name w:val="标题 11"/>
    <w:basedOn w:val="1145"/>
    <w:next w:val="1145"/>
    <w:link w:val="1352"/>
    <w:uiPriority w:val="0"/>
    <w:qFormat/>
    <w:pPr>
      <w:jc w:val="center"/>
      <w:keepLines/>
      <w:keepNext/>
      <w:spacing w:before="340" w:after="330"/>
      <w:outlineLvl w:val="0"/>
    </w:pPr>
    <w:rPr>
      <w:rFonts w:ascii="Calibri" w:hAnsi="Calibri"/>
      <w:b/>
      <w:bCs/>
      <w:sz w:val="32"/>
      <w:szCs w:val="44"/>
    </w:rPr>
  </w:style>
  <w:style w:type="paragraph" w:styleId="1349" w:customStyle="1">
    <w:name w:val="标题 21"/>
    <w:basedOn w:val="1145"/>
    <w:next w:val="1145"/>
    <w:link w:val="1353"/>
    <w:uiPriority w:val="0"/>
    <w:qFormat/>
    <w:pPr>
      <w:jc w:val="center"/>
      <w:keepLines/>
      <w:keepNext/>
      <w:spacing w:before="260" w:after="260"/>
      <w:outlineLvl w:val="1"/>
    </w:pPr>
    <w:rPr>
      <w:rFonts w:ascii="Cambria" w:hAnsi="Cambria"/>
      <w:b/>
      <w:bCs/>
      <w:sz w:val="28"/>
      <w:szCs w:val="32"/>
    </w:rPr>
  </w:style>
  <w:style w:type="character" w:styleId="1350" w:customStyle="1">
    <w:name w:val="默认段落字体1"/>
    <w:uiPriority w:val="1"/>
    <w:unhideWhenUsed/>
    <w:qFormat/>
  </w:style>
  <w:style w:type="table" w:styleId="1351" w:customStyle="1">
    <w:name w:val="普通表格1"/>
    <w:uiPriority w:val="99"/>
    <w:unhideWhenUsed/>
    <w:qFormat/>
    <w:tblPr>
      <w:tblCellMar>
        <w:left w:w="0" w:type="dxa"/>
        <w:top w:w="0" w:type="dxa"/>
        <w:right w:w="0" w:type="dxa"/>
        <w:bottom w:w="0" w:type="dxa"/>
      </w:tblCellMar>
    </w:tblPr>
  </w:style>
  <w:style w:type="character" w:styleId="1352" w:customStyle="1">
    <w:name w:val="标题 1 字符"/>
    <w:link w:val="1348"/>
    <w:uiPriority w:val="0"/>
    <w:qFormat/>
    <w:rPr>
      <w:rFonts w:ascii="Calibri" w:hAnsi="Calibri" w:eastAsia="微软雅黑"/>
      <w:b/>
      <w:bCs/>
      <w:sz w:val="32"/>
      <w:szCs w:val="44"/>
    </w:rPr>
  </w:style>
  <w:style w:type="character" w:styleId="1353" w:customStyle="1">
    <w:name w:val="标题 2 字符"/>
    <w:link w:val="1349"/>
    <w:uiPriority w:val="0"/>
    <w:qFormat/>
    <w:rPr>
      <w:rFonts w:ascii="Cambria" w:hAnsi="Cambria" w:eastAsia="微软雅黑" w:cs="Times New Roman"/>
      <w:b/>
      <w:bCs/>
      <w:sz w:val="28"/>
      <w:szCs w:val="32"/>
    </w:rPr>
  </w:style>
  <w:style w:type="paragraph" w:styleId="1354" w:customStyle="1">
    <w:name w:val="目录 71"/>
    <w:basedOn w:val="1145"/>
    <w:next w:val="1145"/>
    <w:uiPriority w:val="39"/>
    <w:qFormat/>
    <w:pPr>
      <w:ind w:left="2520"/>
    </w:pPr>
    <w:rPr>
      <w:szCs w:val="24"/>
    </w:rPr>
  </w:style>
  <w:style w:type="paragraph" w:styleId="1355" w:customStyle="1">
    <w:name w:val="题注1"/>
    <w:basedOn w:val="1145"/>
    <w:next w:val="1145"/>
    <w:uiPriority w:val="35"/>
    <w:qFormat/>
    <w:rPr>
      <w:rFonts w:ascii="Cambria" w:hAnsi="Cambria" w:eastAsia="黑体"/>
      <w:sz w:val="20"/>
      <w:szCs w:val="20"/>
    </w:rPr>
  </w:style>
  <w:style w:type="paragraph" w:styleId="1356" w:customStyle="1">
    <w:name w:val="列表项目符号1"/>
    <w:basedOn w:val="1145"/>
    <w:uiPriority w:val="0"/>
    <w:qFormat/>
    <w:pPr>
      <w:numPr>
        <w:ilvl w:val="0"/>
        <w:numId w:val="1"/>
      </w:numPr>
      <w:spacing w:line="360" w:lineRule="atLeast"/>
      <w:tabs>
        <w:tab w:val="left" w:pos="360" w:leader="none"/>
      </w:tabs>
    </w:pPr>
    <w:rPr>
      <w:rFonts w:ascii="Arial" w:hAnsi="Arial"/>
      <w:szCs w:val="21"/>
    </w:rPr>
  </w:style>
  <w:style w:type="paragraph" w:styleId="1357" w:customStyle="1">
    <w:name w:val="文档结构图1"/>
    <w:basedOn w:val="1145"/>
    <w:link w:val="1358"/>
    <w:uiPriority w:val="0"/>
    <w:qFormat/>
    <w:rPr>
      <w:rFonts w:ascii="宋体" w:eastAsia="宋体"/>
      <w:sz w:val="18"/>
      <w:szCs w:val="18"/>
    </w:rPr>
  </w:style>
  <w:style w:type="character" w:styleId="1358" w:customStyle="1">
    <w:name w:val="文档结构图 字符"/>
    <w:link w:val="1357"/>
    <w:uiPriority w:val="0"/>
    <w:qFormat/>
    <w:rPr>
      <w:rFonts w:ascii="宋体"/>
      <w:sz w:val="18"/>
      <w:szCs w:val="18"/>
    </w:rPr>
  </w:style>
  <w:style w:type="paragraph" w:styleId="1359" w:customStyle="1">
    <w:name w:val="批注文字1"/>
    <w:basedOn w:val="1145"/>
    <w:link w:val="1360"/>
    <w:uiPriority w:val="0"/>
    <w:semiHidden/>
    <w:qFormat/>
    <w:pPr>
      <w:jc w:val="left"/>
    </w:pPr>
    <w:rPr>
      <w:rFonts w:eastAsia="宋体"/>
      <w:sz w:val="20"/>
      <w:szCs w:val="21"/>
    </w:rPr>
  </w:style>
  <w:style w:type="character" w:styleId="1360" w:customStyle="1">
    <w:name w:val="批注文字 字符"/>
    <w:link w:val="1359"/>
    <w:uiPriority w:val="0"/>
    <w:semiHidden/>
    <w:qFormat/>
    <w:rPr>
      <w:rFonts w:ascii="Times New Roman" w:hAnsi="Times New Roman" w:eastAsia="宋体" w:cs="Times New Roman"/>
      <w:szCs w:val="21"/>
    </w:rPr>
  </w:style>
  <w:style w:type="paragraph" w:styleId="1361" w:customStyle="1">
    <w:name w:val="正文文本1"/>
    <w:basedOn w:val="1145"/>
    <w:next w:val="1145"/>
    <w:link w:val="1362"/>
    <w:uiPriority w:val="0"/>
    <w:qFormat/>
    <w:rPr>
      <w:rFonts w:ascii="仿宋_GB2312" w:hAnsi="宋体" w:eastAsia="仿宋_GB2312"/>
      <w:sz w:val="24"/>
      <w:szCs w:val="24"/>
    </w:rPr>
  </w:style>
  <w:style w:type="character" w:styleId="1362" w:customStyle="1">
    <w:name w:val="正文文本 字符"/>
    <w:link w:val="1361"/>
    <w:uiPriority w:val="0"/>
    <w:qFormat/>
    <w:rPr>
      <w:rFonts w:ascii="仿宋_GB2312" w:hAnsi="宋体" w:eastAsia="仿宋_GB2312" w:cs="仿宋_GB2312"/>
      <w:sz w:val="24"/>
      <w:szCs w:val="24"/>
    </w:rPr>
  </w:style>
  <w:style w:type="paragraph" w:styleId="1363" w:customStyle="1">
    <w:name w:val="正文文本缩进1"/>
    <w:basedOn w:val="1145"/>
    <w:link w:val="1364"/>
    <w:uiPriority w:val="0"/>
    <w:qFormat/>
    <w:pPr>
      <w:ind w:firstLine="403"/>
      <w:spacing w:line="440" w:lineRule="exact"/>
    </w:pPr>
    <w:rPr>
      <w:rFonts w:ascii="宋体" w:hAnsi="宋体" w:eastAsia="宋体"/>
      <w:sz w:val="20"/>
      <w:szCs w:val="21"/>
    </w:rPr>
  </w:style>
  <w:style w:type="character" w:styleId="1364" w:customStyle="1">
    <w:name w:val="正文文本缩进 字符"/>
    <w:link w:val="1363"/>
    <w:uiPriority w:val="0"/>
    <w:qFormat/>
    <w:rPr>
      <w:rFonts w:ascii="宋体" w:hAnsi="宋体" w:eastAsia="宋体" w:cs="宋体"/>
      <w:szCs w:val="21"/>
    </w:rPr>
  </w:style>
  <w:style w:type="paragraph" w:styleId="1365" w:customStyle="1">
    <w:name w:val="文本块1"/>
    <w:basedOn w:val="1145"/>
    <w:next w:val="1145"/>
    <w:uiPriority w:val="99"/>
    <w:unhideWhenUsed/>
    <w:qFormat/>
    <w:pPr>
      <w:ind w:left="1440" w:right="1440"/>
      <w:spacing w:after="120"/>
    </w:pPr>
  </w:style>
  <w:style w:type="paragraph" w:styleId="1366" w:customStyle="1">
    <w:name w:val="索引 411"/>
    <w:basedOn w:val="1145"/>
    <w:next w:val="1145"/>
    <w:uiPriority w:val="99"/>
    <w:unhideWhenUsed/>
    <w:qFormat/>
    <w:pPr>
      <w:ind w:left="600"/>
    </w:pPr>
    <w:rPr>
      <w:rFonts w:ascii="Verdana" w:hAnsi="Verdana"/>
      <w:szCs w:val="20"/>
    </w:rPr>
  </w:style>
  <w:style w:type="paragraph" w:styleId="1367" w:customStyle="1">
    <w:name w:val="目录 51"/>
    <w:basedOn w:val="1145"/>
    <w:next w:val="1145"/>
    <w:uiPriority w:val="39"/>
    <w:qFormat/>
    <w:pPr>
      <w:ind w:left="1680"/>
    </w:pPr>
    <w:rPr>
      <w:szCs w:val="24"/>
    </w:rPr>
  </w:style>
  <w:style w:type="paragraph" w:styleId="1368" w:customStyle="1">
    <w:name w:val="目录 31"/>
    <w:basedOn w:val="1145"/>
    <w:next w:val="1145"/>
    <w:uiPriority w:val="39"/>
    <w:unhideWhenUsed/>
    <w:qFormat/>
    <w:pPr>
      <w:ind w:left="840"/>
      <w:spacing w:line="340" w:lineRule="exact"/>
    </w:pPr>
    <w:rPr>
      <w:rFonts w:ascii="Calibri" w:hAnsi="Calibri"/>
    </w:rPr>
  </w:style>
  <w:style w:type="paragraph" w:styleId="1369" w:customStyle="1">
    <w:name w:val="纯文本1"/>
    <w:basedOn w:val="1145"/>
    <w:link w:val="1370"/>
    <w:uiPriority w:val="0"/>
    <w:qFormat/>
    <w:rPr>
      <w:rFonts w:ascii="宋体" w:hAnsi="Courier New" w:eastAsia="宋体"/>
      <w:sz w:val="28"/>
      <w:szCs w:val="28"/>
    </w:rPr>
  </w:style>
  <w:style w:type="character" w:styleId="1370" w:customStyle="1">
    <w:name w:val="纯文本 字符"/>
    <w:link w:val="1369"/>
    <w:uiPriority w:val="0"/>
    <w:qFormat/>
    <w:rPr>
      <w:rFonts w:ascii="宋体" w:hAnsi="Courier New" w:eastAsia="宋体" w:cs="宋体"/>
      <w:sz w:val="28"/>
      <w:szCs w:val="28"/>
    </w:rPr>
  </w:style>
  <w:style w:type="paragraph" w:styleId="1371" w:customStyle="1">
    <w:name w:val="目录 81"/>
    <w:basedOn w:val="1145"/>
    <w:next w:val="1145"/>
    <w:uiPriority w:val="39"/>
    <w:qFormat/>
    <w:pPr>
      <w:ind w:left="2940"/>
    </w:pPr>
    <w:rPr>
      <w:szCs w:val="24"/>
    </w:rPr>
  </w:style>
  <w:style w:type="paragraph" w:styleId="1372" w:customStyle="1">
    <w:name w:val="日期1"/>
    <w:basedOn w:val="1145"/>
    <w:next w:val="1145"/>
    <w:link w:val="1373"/>
    <w:uiPriority w:val="0"/>
    <w:qFormat/>
    <w:pPr>
      <w:ind w:left="100"/>
    </w:pPr>
    <w:rPr>
      <w:rFonts w:eastAsia="宋体"/>
      <w:sz w:val="20"/>
      <w:szCs w:val="21"/>
    </w:rPr>
  </w:style>
  <w:style w:type="character" w:styleId="1373" w:customStyle="1">
    <w:name w:val="日期 字符"/>
    <w:link w:val="1372"/>
    <w:uiPriority w:val="0"/>
    <w:qFormat/>
    <w:rPr>
      <w:rFonts w:ascii="Times New Roman" w:hAnsi="Times New Roman" w:eastAsia="宋体" w:cs="Times New Roman"/>
      <w:szCs w:val="21"/>
    </w:rPr>
  </w:style>
  <w:style w:type="paragraph" w:styleId="1374" w:customStyle="1">
    <w:name w:val="正文文本缩进 21"/>
    <w:basedOn w:val="1145"/>
    <w:link w:val="1375"/>
    <w:uiPriority w:val="0"/>
    <w:qFormat/>
    <w:pPr>
      <w:ind w:firstLine="420"/>
      <w:spacing w:line="440" w:lineRule="exact"/>
    </w:pPr>
    <w:rPr>
      <w:rFonts w:ascii="宋体" w:hAnsi="宋体" w:eastAsia="宋体"/>
      <w:sz w:val="20"/>
      <w:szCs w:val="21"/>
    </w:rPr>
  </w:style>
  <w:style w:type="character" w:styleId="1375" w:customStyle="1">
    <w:name w:val="正文文本缩进 2 字符"/>
    <w:link w:val="1374"/>
    <w:uiPriority w:val="0"/>
    <w:qFormat/>
    <w:rPr>
      <w:rFonts w:ascii="宋体" w:hAnsi="宋体" w:eastAsia="宋体" w:cs="宋体"/>
      <w:szCs w:val="21"/>
    </w:rPr>
  </w:style>
  <w:style w:type="paragraph" w:styleId="1376" w:customStyle="1">
    <w:name w:val="批注框文本1"/>
    <w:basedOn w:val="1145"/>
    <w:link w:val="1377"/>
    <w:uiPriority w:val="0"/>
    <w:semiHidden/>
    <w:qFormat/>
    <w:rPr>
      <w:rFonts w:eastAsia="宋体"/>
      <w:sz w:val="18"/>
      <w:szCs w:val="18"/>
    </w:rPr>
  </w:style>
  <w:style w:type="character" w:styleId="1377" w:customStyle="1">
    <w:name w:val="批注框文本 字符"/>
    <w:link w:val="1376"/>
    <w:uiPriority w:val="0"/>
    <w:semiHidden/>
    <w:qFormat/>
    <w:rPr>
      <w:rFonts w:ascii="Times New Roman" w:hAnsi="Times New Roman" w:eastAsia="宋体" w:cs="Times New Roman"/>
      <w:sz w:val="18"/>
      <w:szCs w:val="18"/>
    </w:rPr>
  </w:style>
  <w:style w:type="paragraph" w:styleId="1378" w:customStyle="1">
    <w:name w:val="页脚1"/>
    <w:basedOn w:val="1145"/>
    <w:link w:val="1379"/>
    <w:uiPriority w:val="0"/>
    <w:unhideWhenUsed/>
    <w:qFormat/>
    <w:pPr>
      <w:jc w:val="left"/>
      <w:tabs>
        <w:tab w:val="center" w:pos="4153" w:leader="none"/>
        <w:tab w:val="right" w:pos="8306" w:leader="none"/>
      </w:tabs>
    </w:pPr>
    <w:rPr>
      <w:rFonts w:ascii="宋体" w:eastAsia="宋体"/>
      <w:sz w:val="18"/>
      <w:szCs w:val="18"/>
    </w:rPr>
  </w:style>
  <w:style w:type="character" w:styleId="1379" w:customStyle="1">
    <w:name w:val="页脚 字符"/>
    <w:link w:val="1378"/>
    <w:uiPriority w:val="0"/>
    <w:qFormat/>
    <w:rPr>
      <w:rFonts w:ascii="宋体" w:hAnsi="Times New Roman" w:eastAsia="宋体" w:cs="Times New Roman"/>
      <w:sz w:val="18"/>
      <w:szCs w:val="18"/>
    </w:rPr>
  </w:style>
  <w:style w:type="paragraph" w:styleId="1380" w:customStyle="1">
    <w:name w:val="页眉1"/>
    <w:basedOn w:val="1145"/>
    <w:link w:val="1381"/>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81" w:customStyle="1">
    <w:name w:val="页眉 字符"/>
    <w:link w:val="1380"/>
    <w:uiPriority w:val="0"/>
    <w:qFormat/>
    <w:rPr>
      <w:rFonts w:ascii="宋体" w:hAnsi="Times New Roman" w:eastAsia="宋体" w:cs="Times New Roman"/>
      <w:sz w:val="18"/>
      <w:szCs w:val="18"/>
    </w:rPr>
  </w:style>
  <w:style w:type="paragraph" w:styleId="1382" w:customStyle="1">
    <w:name w:val="目录 11"/>
    <w:basedOn w:val="1145"/>
    <w:next w:val="1145"/>
    <w:uiPriority w:val="39"/>
    <w:unhideWhenUsed/>
    <w:qFormat/>
    <w:pPr>
      <w:spacing w:line="400" w:lineRule="exact"/>
    </w:pPr>
    <w:rPr>
      <w:rFonts w:ascii="Calibri" w:hAnsi="Calibri"/>
      <w:b/>
    </w:rPr>
  </w:style>
  <w:style w:type="paragraph" w:styleId="1383" w:customStyle="1">
    <w:name w:val="目录 41"/>
    <w:basedOn w:val="1145"/>
    <w:next w:val="1145"/>
    <w:uiPriority w:val="39"/>
    <w:qFormat/>
    <w:pPr>
      <w:ind w:left="1260"/>
    </w:pPr>
    <w:rPr>
      <w:szCs w:val="24"/>
    </w:rPr>
  </w:style>
  <w:style w:type="paragraph" w:styleId="1384" w:customStyle="1">
    <w:name w:val="目录 61"/>
    <w:basedOn w:val="1145"/>
    <w:next w:val="1145"/>
    <w:uiPriority w:val="39"/>
    <w:qFormat/>
    <w:pPr>
      <w:ind w:left="2100"/>
    </w:pPr>
    <w:rPr>
      <w:szCs w:val="24"/>
    </w:rPr>
  </w:style>
  <w:style w:type="paragraph" w:styleId="1385" w:customStyle="1">
    <w:name w:val="目录 21"/>
    <w:basedOn w:val="1145"/>
    <w:next w:val="1145"/>
    <w:uiPriority w:val="39"/>
    <w:unhideWhenUsed/>
    <w:qFormat/>
    <w:pPr>
      <w:ind w:left="420"/>
      <w:spacing w:line="360" w:lineRule="exact"/>
    </w:pPr>
    <w:rPr>
      <w:rFonts w:ascii="Calibri" w:hAnsi="Calibri"/>
    </w:rPr>
  </w:style>
  <w:style w:type="paragraph" w:styleId="1386" w:customStyle="1">
    <w:name w:val="目录 91"/>
    <w:basedOn w:val="1145"/>
    <w:next w:val="1145"/>
    <w:uiPriority w:val="39"/>
    <w:qFormat/>
    <w:pPr>
      <w:ind w:left="3360"/>
    </w:pPr>
    <w:rPr>
      <w:szCs w:val="24"/>
    </w:rPr>
  </w:style>
  <w:style w:type="paragraph" w:styleId="1387" w:customStyle="1">
    <w:name w:val="正文文本 21"/>
    <w:basedOn w:val="1145"/>
    <w:uiPriority w:val="0"/>
    <w:qFormat/>
    <w:rPr>
      <w:rFonts w:ascii="华文细黑" w:hAnsi="华文细黑" w:eastAsia="华文细黑"/>
      <w:b/>
      <w:bCs/>
      <w:sz w:val="24"/>
      <w:szCs w:val="20"/>
    </w:rPr>
  </w:style>
  <w:style w:type="paragraph" w:styleId="1388" w:customStyle="1">
    <w:name w:val="普通(网站)1"/>
    <w:basedOn w:val="114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89" w:customStyle="1">
    <w:name w:val="批注主题1"/>
    <w:basedOn w:val="1359"/>
    <w:next w:val="1359"/>
    <w:link w:val="1390"/>
    <w:uiPriority w:val="99"/>
    <w:unhideWhenUsed/>
    <w:qFormat/>
    <w:rPr>
      <w:b/>
      <w:bCs/>
      <w:sz w:val="21"/>
      <w:szCs w:val="22"/>
    </w:rPr>
  </w:style>
  <w:style w:type="character" w:styleId="1390" w:customStyle="1">
    <w:name w:val="批注主题 字符"/>
    <w:link w:val="1389"/>
    <w:uiPriority w:val="99"/>
    <w:semiHidden/>
    <w:qFormat/>
    <w:rPr>
      <w:rFonts w:ascii="Times New Roman" w:hAnsi="Times New Roman" w:eastAsia="宋体" w:cs="Times New Roman"/>
      <w:b/>
      <w:bCs/>
      <w:sz w:val="21"/>
      <w:szCs w:val="22"/>
    </w:rPr>
  </w:style>
  <w:style w:type="paragraph" w:styleId="1391" w:customStyle="1">
    <w:name w:val="正文首行缩进1"/>
    <w:basedOn w:val="1361"/>
    <w:uiPriority w:val="0"/>
    <w:qFormat/>
    <w:pPr>
      <w:ind w:firstLine="420"/>
    </w:pPr>
  </w:style>
  <w:style w:type="table" w:styleId="1392" w:customStyle="1">
    <w:name w:val="网格型1"/>
    <w:basedOn w:val="1351"/>
    <w:uiPriority w:val="0"/>
    <w:qFormat/>
    <w:tblPr>
      <w:tblCellMar>
        <w:left w:w="0" w:type="dxa"/>
        <w:top w:w="0" w:type="dxa"/>
        <w:right w:w="0" w:type="dxa"/>
        <w:bottom w:w="0" w:type="dxa"/>
      </w:tblCellMar>
    </w:tblPr>
  </w:style>
  <w:style w:type="character" w:styleId="1393" w:customStyle="1">
    <w:name w:val="要点1"/>
    <w:basedOn w:val="1350"/>
    <w:uiPriority w:val="0"/>
    <w:qFormat/>
    <w:rPr>
      <w:b/>
      <w:bCs/>
    </w:rPr>
  </w:style>
  <w:style w:type="character" w:styleId="1394" w:customStyle="1">
    <w:name w:val="页码1"/>
    <w:uiPriority w:val="0"/>
    <w:qFormat/>
  </w:style>
  <w:style w:type="character" w:styleId="1395" w:customStyle="1">
    <w:name w:val="已访问的超链接1"/>
    <w:uiPriority w:val="99"/>
    <w:qFormat/>
    <w:rPr>
      <w:color w:val="000000"/>
      <w:sz w:val="18"/>
      <w:szCs w:val="18"/>
      <w:u w:val="none"/>
    </w:rPr>
  </w:style>
  <w:style w:type="character" w:styleId="1396" w:customStyle="1">
    <w:name w:val="强调1"/>
    <w:uiPriority w:val="20"/>
    <w:qFormat/>
    <w:rPr>
      <w:i/>
      <w:iCs/>
    </w:rPr>
  </w:style>
  <w:style w:type="character" w:styleId="1397" w:customStyle="1">
    <w:name w:val="超链接1"/>
    <w:uiPriority w:val="99"/>
    <w:qFormat/>
    <w:rPr>
      <w:color w:val="000000"/>
      <w:sz w:val="18"/>
      <w:szCs w:val="18"/>
      <w:u w:val="none"/>
    </w:rPr>
  </w:style>
  <w:style w:type="character" w:styleId="1398" w:customStyle="1">
    <w:name w:val="批注引用1"/>
    <w:uiPriority w:val="0"/>
    <w:semiHidden/>
    <w:qFormat/>
    <w:rPr>
      <w:sz w:val="21"/>
      <w:szCs w:val="21"/>
    </w:rPr>
  </w:style>
  <w:style w:type="paragraph" w:styleId="1399" w:customStyle="1">
    <w:name w:val="无间隔1"/>
    <w:uiPriority w:val="1"/>
    <w:qFormat/>
    <w:rPr>
      <w:rFonts w:ascii="Tahoma" w:hAnsi="Tahoma" w:eastAsia="微软雅黑" w:cs="Times New Roman"/>
      <w:sz w:val="22"/>
      <w:szCs w:val="22"/>
      <w:lang w:val="en-US" w:eastAsia="zh-CN" w:bidi="ar-SA"/>
    </w:rPr>
  </w:style>
  <w:style w:type="paragraph" w:styleId="1400" w:customStyle="1">
    <w:name w:val="首行缩进"/>
    <w:basedOn w:val="1145"/>
    <w:uiPriority w:val="0"/>
    <w:qFormat/>
    <w:pPr>
      <w:ind w:firstLine="420"/>
      <w:spacing w:line="360" w:lineRule="auto"/>
    </w:pPr>
  </w:style>
  <w:style w:type="character" w:styleId="1401" w:customStyle="1">
    <w:name w:val="displayarti"/>
    <w:uiPriority w:val="0"/>
    <w:qFormat/>
    <w:rPr>
      <w:color w:val="ffffff"/>
      <w:shd w:val="clear" w:color="auto" w:fill="a00000"/>
    </w:rPr>
  </w:style>
  <w:style w:type="character" w:styleId="1402" w:customStyle="1">
    <w:name w:val="layui-laypage-curr"/>
    <w:uiPriority w:val="0"/>
    <w:qFormat/>
  </w:style>
  <w:style w:type="character" w:styleId="1403" w:customStyle="1">
    <w:name w:val="gpa"/>
    <w:uiPriority w:val="0"/>
    <w:qFormat/>
    <w:rPr>
      <w:rFonts w:ascii="Arial" w:hAnsi="Arial" w:cs="Arial"/>
      <w:sz w:val="15"/>
      <w:szCs w:val="15"/>
    </w:rPr>
  </w:style>
  <w:style w:type="character" w:styleId="1404" w:customStyle="1">
    <w:name w:val="font71"/>
    <w:uiPriority w:val="0"/>
    <w:qFormat/>
    <w:rPr>
      <w:rFonts w:hint="eastAsia" w:ascii="宋体" w:hAnsi="宋体" w:eastAsia="宋体" w:cs="宋体"/>
      <w:color w:val="ff0000"/>
      <w:sz w:val="24"/>
      <w:szCs w:val="24"/>
      <w:u w:val="none"/>
    </w:rPr>
  </w:style>
  <w:style w:type="character" w:styleId="1405" w:customStyle="1">
    <w:name w:val="1page sec3 Char"/>
    <w:uiPriority w:val="0"/>
    <w:qFormat/>
    <w:rPr>
      <w:rFonts w:eastAsia="宋体"/>
      <w:sz w:val="18"/>
      <w:szCs w:val="18"/>
      <w:lang w:val="en-US" w:eastAsia="zh-CN" w:bidi="ar-SA"/>
    </w:rPr>
  </w:style>
  <w:style w:type="character" w:styleId="1406" w:customStyle="1">
    <w:name w:val="z-窗体顶端 字符"/>
    <w:link w:val="1407"/>
    <w:uiPriority w:val="99"/>
    <w:semiHidden/>
    <w:qFormat/>
    <w:rPr>
      <w:rFonts w:ascii="Arial" w:hAnsi="Arial" w:eastAsia="宋体" w:cs="Arial"/>
      <w:vanish/>
      <w:sz w:val="16"/>
      <w:szCs w:val="16"/>
    </w:rPr>
  </w:style>
  <w:style w:type="paragraph" w:styleId="1407" w:customStyle="1">
    <w:name w:val="z-窗体顶端1"/>
    <w:basedOn w:val="1145"/>
    <w:next w:val="1145"/>
    <w:link w:val="1406"/>
    <w:uiPriority w:val="99"/>
    <w:unhideWhenUsed/>
    <w:qFormat/>
    <w:pPr>
      <w:jc w:val="center"/>
      <w:widowControl/>
      <w:pBdr>
        <w:bottom w:val="single" w:color="000000" w:sz="6" w:space="1"/>
      </w:pBdr>
    </w:pPr>
    <w:rPr>
      <w:rFonts w:ascii="Arial" w:hAnsi="Arial" w:eastAsia="宋体"/>
      <w:vanish/>
      <w:sz w:val="16"/>
      <w:szCs w:val="16"/>
    </w:rPr>
  </w:style>
  <w:style w:type="character" w:styleId="1408" w:customStyle="1">
    <w:name w:val="z-窗体底端 字符"/>
    <w:link w:val="1409"/>
    <w:uiPriority w:val="99"/>
    <w:semiHidden/>
    <w:qFormat/>
    <w:rPr>
      <w:rFonts w:ascii="Arial" w:hAnsi="Arial" w:eastAsia="宋体" w:cs="Arial"/>
      <w:vanish/>
      <w:sz w:val="16"/>
      <w:szCs w:val="16"/>
    </w:rPr>
  </w:style>
  <w:style w:type="paragraph" w:styleId="1409" w:customStyle="1">
    <w:name w:val="z-窗体底端1"/>
    <w:basedOn w:val="1145"/>
    <w:next w:val="1145"/>
    <w:link w:val="1408"/>
    <w:uiPriority w:val="99"/>
    <w:unhideWhenUsed/>
    <w:qFormat/>
    <w:pPr>
      <w:jc w:val="center"/>
      <w:widowControl/>
      <w:pBdr>
        <w:top w:val="single" w:color="000000" w:sz="6" w:space="1"/>
      </w:pBdr>
    </w:pPr>
    <w:rPr>
      <w:rFonts w:ascii="Arial" w:hAnsi="Arial" w:eastAsia="宋体"/>
      <w:vanish/>
      <w:sz w:val="16"/>
      <w:szCs w:val="16"/>
    </w:rPr>
  </w:style>
  <w:style w:type="character" w:styleId="1410" w:customStyle="1">
    <w:name w:val="正文文字 Char Char"/>
    <w:uiPriority w:val="0"/>
    <w:qFormat/>
    <w:rPr>
      <w:rFonts w:ascii="仿宋_GB2312" w:hAnsi="宋体" w:eastAsia="仿宋_GB2312" w:cs="仿宋_GB2312"/>
      <w:sz w:val="24"/>
      <w:szCs w:val="24"/>
    </w:rPr>
  </w:style>
  <w:style w:type="character" w:styleId="1411" w:customStyle="1">
    <w:name w:val="apple-style-span"/>
    <w:uiPriority w:val="0"/>
    <w:qFormat/>
  </w:style>
  <w:style w:type="character" w:styleId="1412" w:customStyle="1">
    <w:name w:val="label"/>
    <w:uiPriority w:val="0"/>
    <w:qFormat/>
    <w:rPr>
      <w:color w:val="999999"/>
    </w:rPr>
  </w:style>
  <w:style w:type="character" w:styleId="1413" w:customStyle="1">
    <w:name w:val="Char Char13"/>
    <w:uiPriority w:val="0"/>
    <w:qFormat/>
    <w:rPr>
      <w:b/>
      <w:bCs/>
      <w:sz w:val="44"/>
      <w:szCs w:val="44"/>
    </w:rPr>
  </w:style>
  <w:style w:type="character" w:styleId="1414" w:customStyle="1">
    <w:name w:val="font91"/>
    <w:uiPriority w:val="0"/>
    <w:qFormat/>
    <w:rPr>
      <w:rFonts w:hint="eastAsia" w:ascii="宋体" w:hAnsi="宋体" w:eastAsia="宋体" w:cs="宋体"/>
      <w:b/>
      <w:color w:val="000000"/>
      <w:sz w:val="20"/>
      <w:szCs w:val="20"/>
      <w:u w:val="none"/>
    </w:rPr>
  </w:style>
  <w:style w:type="character" w:styleId="1415" w:customStyle="1">
    <w:name w:val="font51"/>
    <w:uiPriority w:val="0"/>
    <w:qFormat/>
    <w:rPr>
      <w:rFonts w:hint="eastAsia" w:ascii="宋体" w:hAnsi="宋体" w:eastAsia="宋体" w:cs="宋体"/>
      <w:color w:val="000000"/>
      <w:sz w:val="21"/>
      <w:szCs w:val="21"/>
      <w:u w:val="none"/>
    </w:rPr>
  </w:style>
  <w:style w:type="character" w:styleId="1416" w:customStyle="1">
    <w:name w:val="不明显强调1"/>
    <w:uiPriority w:val="19"/>
    <w:qFormat/>
    <w:rPr>
      <w:i/>
      <w:iCs/>
      <w:color w:val="808080"/>
    </w:rPr>
  </w:style>
  <w:style w:type="character" w:styleId="1417" w:customStyle="1">
    <w:name w:val="hover12"/>
    <w:uiPriority w:val="0"/>
    <w:qFormat/>
  </w:style>
  <w:style w:type="character" w:styleId="1418" w:customStyle="1">
    <w:name w:val="_Style 6"/>
    <w:uiPriority w:val="19"/>
    <w:qFormat/>
    <w:rPr>
      <w:i/>
      <w:iCs/>
      <w:color w:val="808080"/>
    </w:rPr>
  </w:style>
  <w:style w:type="character" w:styleId="1419" w:customStyle="1">
    <w:name w:val="font31"/>
    <w:uiPriority w:val="0"/>
    <w:qFormat/>
    <w:rPr>
      <w:rFonts w:hint="eastAsia" w:ascii="宋体" w:hAnsi="宋体" w:eastAsia="宋体" w:cs="宋体"/>
      <w:b/>
      <w:color w:val="000000"/>
      <w:sz w:val="24"/>
      <w:szCs w:val="24"/>
      <w:u w:val="none"/>
    </w:rPr>
  </w:style>
  <w:style w:type="character" w:styleId="1420" w:customStyle="1">
    <w:name w:val="纯文本 Char2"/>
    <w:uiPriority w:val="0"/>
    <w:qFormat/>
    <w:rPr>
      <w:rFonts w:ascii="宋体" w:hAnsi="Courier New" w:eastAsia="宋体"/>
      <w:sz w:val="24"/>
      <w:lang w:val="en-US" w:eastAsia="zh-CN" w:bidi="ar-SA"/>
    </w:rPr>
  </w:style>
  <w:style w:type="character" w:styleId="1421" w:customStyle="1">
    <w:name w:val="selected"/>
    <w:uiPriority w:val="0"/>
    <w:qFormat/>
    <w:rPr>
      <w:shd w:val="clear" w:color="auto" w:fill="b00006"/>
    </w:rPr>
  </w:style>
  <w:style w:type="character" w:styleId="1422" w:customStyle="1">
    <w:name w:val="文档结构图 Char1"/>
    <w:uiPriority w:val="99"/>
    <w:semiHidden/>
    <w:qFormat/>
    <w:rPr>
      <w:rFonts w:ascii="宋体"/>
      <w:sz w:val="18"/>
      <w:szCs w:val="18"/>
    </w:rPr>
  </w:style>
  <w:style w:type="character" w:styleId="1423" w:customStyle="1">
    <w:name w:val="Char Char5"/>
    <w:uiPriority w:val="0"/>
    <w:qFormat/>
    <w:rPr>
      <w:rFonts w:ascii="宋体" w:hAnsi="Courier New" w:eastAsia="宋体" w:cs="宋体"/>
      <w:sz w:val="28"/>
      <w:szCs w:val="28"/>
      <w:lang w:val="en-US" w:eastAsia="zh-CN"/>
    </w:rPr>
  </w:style>
  <w:style w:type="character" w:styleId="1424" w:customStyle="1">
    <w:name w:val="font101"/>
    <w:uiPriority w:val="0"/>
    <w:qFormat/>
    <w:rPr>
      <w:rFonts w:hint="eastAsia" w:ascii="宋体" w:hAnsi="宋体" w:eastAsia="宋体" w:cs="宋体"/>
      <w:color w:val="000000"/>
      <w:sz w:val="24"/>
      <w:szCs w:val="24"/>
      <w:u w:val="none"/>
    </w:rPr>
  </w:style>
  <w:style w:type="character" w:styleId="1425" w:customStyle="1">
    <w:name w:val="font01"/>
    <w:uiPriority w:val="0"/>
    <w:qFormat/>
    <w:rPr>
      <w:rFonts w:ascii="Calibri" w:hAnsi="Calibri" w:cs="Calibri"/>
      <w:color w:val="000000"/>
      <w:sz w:val="21"/>
      <w:szCs w:val="21"/>
      <w:u w:val="none"/>
    </w:rPr>
  </w:style>
  <w:style w:type="character" w:styleId="1426" w:customStyle="1">
    <w:name w:val="font41"/>
    <w:uiPriority w:val="0"/>
    <w:qFormat/>
    <w:rPr>
      <w:rFonts w:hint="eastAsia" w:ascii="宋体" w:hAnsi="宋体" w:eastAsia="宋体" w:cs="宋体"/>
      <w:color w:val="000000"/>
      <w:sz w:val="24"/>
      <w:szCs w:val="24"/>
      <w:u w:val="none"/>
    </w:rPr>
  </w:style>
  <w:style w:type="character" w:styleId="1427" w:customStyle="1">
    <w:name w:val="font112"/>
    <w:uiPriority w:val="0"/>
    <w:qFormat/>
    <w:rPr>
      <w:rFonts w:hint="eastAsia" w:ascii="宋体" w:hAnsi="宋体" w:eastAsia="宋体" w:cs="宋体"/>
      <w:color w:val="000000"/>
      <w:sz w:val="20"/>
      <w:szCs w:val="20"/>
      <w:u w:val="none"/>
    </w:rPr>
  </w:style>
  <w:style w:type="paragraph" w:styleId="1428" w:customStyle="1">
    <w:name w:val="xl74"/>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29" w:customStyle="1">
    <w:name w:val="四级条标题"/>
    <w:basedOn w:val="1430"/>
    <w:next w:val="1145"/>
    <w:uiPriority w:val="0"/>
    <w:qFormat/>
    <w:pPr>
      <w:outlineLvl w:val="5"/>
    </w:pPr>
  </w:style>
  <w:style w:type="paragraph" w:styleId="1430" w:customStyle="1">
    <w:name w:val="三级条标题"/>
    <w:basedOn w:val="1431"/>
    <w:next w:val="1145"/>
    <w:uiPriority w:val="0"/>
    <w:qFormat/>
    <w:pPr>
      <w:outlineLvl w:val="4"/>
    </w:pPr>
  </w:style>
  <w:style w:type="paragraph" w:styleId="1431" w:customStyle="1">
    <w:name w:val="二级条标题"/>
    <w:basedOn w:val="1432"/>
    <w:next w:val="1145"/>
    <w:uiPriority w:val="0"/>
    <w:qFormat/>
    <w:pPr>
      <w:outlineLvl w:val="3"/>
    </w:pPr>
  </w:style>
  <w:style w:type="paragraph" w:styleId="1432" w:customStyle="1">
    <w:name w:val="一级条标题"/>
    <w:next w:val="1145"/>
    <w:uiPriority w:val="0"/>
    <w:qFormat/>
    <w:pPr>
      <w:outlineLvl w:val="2"/>
    </w:pPr>
    <w:rPr>
      <w:rFonts w:ascii="Times New Roman" w:hAnsi="Times New Roman" w:eastAsia="黑体" w:cs="Times New Roman"/>
      <w:sz w:val="21"/>
      <w:szCs w:val="21"/>
      <w:lang w:val="en-US" w:eastAsia="zh-CN" w:bidi="ar-SA"/>
    </w:rPr>
  </w:style>
  <w:style w:type="paragraph" w:styleId="1433" w:customStyle="1">
    <w:name w:val="标准称谓"/>
    <w:next w:val="1145"/>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34" w:customStyle="1">
    <w:name w:val="xl67"/>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35" w:customStyle="1">
    <w:name w:val="xl98"/>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36" w:customStyle="1">
    <w:name w:val="彩色列表1"/>
    <w:basedOn w:val="1145"/>
    <w:uiPriority w:val="0"/>
    <w:qFormat/>
    <w:pPr>
      <w:ind w:firstLine="420"/>
    </w:pPr>
    <w:rPr>
      <w:szCs w:val="24"/>
    </w:rPr>
  </w:style>
  <w:style w:type="paragraph" w:styleId="1437" w:customStyle="1">
    <w:name w:val="xl76"/>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38" w:customStyle="1">
    <w:name w:val="EnvelopeReturn1"/>
    <w:basedOn w:val="1145"/>
    <w:uiPriority w:val="0"/>
    <w:qFormat/>
    <w:rPr>
      <w:rFonts w:ascii="Arial" w:hAnsi="Arial"/>
    </w:rPr>
  </w:style>
  <w:style w:type="paragraph" w:styleId="1439" w:customStyle="1">
    <w:name w:val="列出段落1"/>
    <w:basedOn w:val="1145"/>
    <w:uiPriority w:val="0"/>
    <w:qFormat/>
    <w:pPr>
      <w:ind w:firstLine="420"/>
    </w:pPr>
    <w:rPr>
      <w:szCs w:val="24"/>
    </w:rPr>
  </w:style>
  <w:style w:type="paragraph" w:styleId="1440" w:customStyle="1">
    <w:name w:val="tc"/>
    <w:basedOn w:val="1145"/>
    <w:uiPriority w:val="0"/>
    <w:qFormat/>
    <w:pPr>
      <w:jc w:val="center"/>
    </w:pPr>
    <w:rPr>
      <w:szCs w:val="24"/>
    </w:rPr>
  </w:style>
  <w:style w:type="paragraph" w:styleId="1441" w:customStyle="1">
    <w:name w:val="正文宋体4"/>
    <w:basedOn w:val="1145"/>
    <w:uiPriority w:val="0"/>
    <w:qFormat/>
    <w:pPr>
      <w:ind w:firstLine="359"/>
      <w:tabs>
        <w:tab w:val="left" w:pos="0" w:leader="none"/>
      </w:tabs>
    </w:pPr>
    <w:rPr>
      <w:rFonts w:ascii="仿宋_GB2312" w:eastAsia="仿宋_GB2312"/>
      <w:b/>
      <w:color w:val="000000"/>
      <w:sz w:val="24"/>
      <w:szCs w:val="24"/>
    </w:rPr>
  </w:style>
  <w:style w:type="paragraph" w:styleId="1442" w:customStyle="1">
    <w:name w:val="Char Char"/>
    <w:basedOn w:val="1145"/>
    <w:uiPriority w:val="0"/>
    <w:qFormat/>
    <w:pPr>
      <w:tabs>
        <w:tab w:val="left" w:pos="360" w:leader="none"/>
      </w:tabs>
    </w:pPr>
    <w:rPr>
      <w:sz w:val="24"/>
      <w:szCs w:val="24"/>
    </w:rPr>
  </w:style>
  <w:style w:type="paragraph" w:styleId="1443" w:customStyle="1">
    <w:name w:val="xl70"/>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44" w:customStyle="1">
    <w:name w:val="BodyTextIndent1"/>
    <w:basedOn w:val="1145"/>
    <w:next w:val="1438"/>
    <w:uiPriority w:val="0"/>
    <w:qFormat/>
    <w:pPr>
      <w:ind w:firstLine="403"/>
      <w:spacing w:line="440" w:lineRule="exact"/>
    </w:pPr>
    <w:rPr>
      <w:rFonts w:ascii="宋体" w:hAnsi="宋体" w:eastAsia="宋体"/>
      <w:szCs w:val="21"/>
    </w:rPr>
  </w:style>
  <w:style w:type="paragraph" w:styleId="1445" w:customStyle="1">
    <w:name w:val="！正文"/>
    <w:basedOn w:val="1145"/>
    <w:uiPriority w:val="0"/>
    <w:qFormat/>
    <w:pPr>
      <w:ind w:firstLine="200"/>
      <w:spacing w:line="480" w:lineRule="exact"/>
    </w:pPr>
    <w:rPr>
      <w:rFonts w:ascii="宋体" w:hAnsi="宋体"/>
      <w:lang w:val="zh-CN"/>
    </w:rPr>
  </w:style>
  <w:style w:type="paragraph" w:styleId="1446" w:customStyle="1">
    <w:name w:val="_Style 2"/>
    <w:basedOn w:val="1145"/>
    <w:uiPriority w:val="0"/>
    <w:qFormat/>
    <w:pPr>
      <w:ind w:firstLine="420"/>
    </w:pPr>
    <w:rPr>
      <w:rFonts w:ascii="Calibri" w:hAnsi="Calibri"/>
    </w:rPr>
  </w:style>
  <w:style w:type="paragraph" w:styleId="1447" w:customStyle="1">
    <w:name w:val="xl111"/>
    <w:basedOn w:val="114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48" w:customStyle="1">
    <w:name w:val="xl92"/>
    <w:basedOn w:val="11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49" w:customStyle="1">
    <w:name w:val="font5"/>
    <w:basedOn w:val="1145"/>
    <w:uiPriority w:val="0"/>
    <w:qFormat/>
    <w:pPr>
      <w:jc w:val="left"/>
      <w:spacing w:before="100" w:beforeAutospacing="1" w:after="100" w:afterAutospacing="1"/>
      <w:widowControl/>
    </w:pPr>
    <w:rPr>
      <w:color w:val="000000"/>
      <w:sz w:val="20"/>
      <w:szCs w:val="20"/>
    </w:rPr>
  </w:style>
  <w:style w:type="paragraph" w:styleId="1450" w:customStyle="1">
    <w:name w:val="font6"/>
    <w:basedOn w:val="1145"/>
    <w:uiPriority w:val="0"/>
    <w:qFormat/>
    <w:pPr>
      <w:jc w:val="left"/>
      <w:spacing w:before="100" w:beforeAutospacing="1" w:after="100" w:afterAutospacing="1"/>
      <w:widowControl/>
    </w:pPr>
    <w:rPr>
      <w:color w:val="000000"/>
      <w:szCs w:val="21"/>
    </w:rPr>
  </w:style>
  <w:style w:type="paragraph" w:styleId="1451" w:customStyle="1">
    <w:name w:val="xl78"/>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2" w:customStyle="1">
    <w:name w:val="xl112"/>
    <w:basedOn w:val="114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53" w:customStyle="1">
    <w:name w:val="正文1"/>
    <w:basedOn w:val="1145"/>
    <w:uiPriority w:val="0"/>
    <w:qFormat/>
    <w:pPr>
      <w:ind w:firstLine="490"/>
      <w:spacing w:line="360" w:lineRule="auto"/>
    </w:pPr>
    <w:rPr>
      <w:rFonts w:ascii="宋体" w:hAnsi="宋体" w:eastAsia="宋体"/>
      <w:sz w:val="24"/>
      <w:szCs w:val="28"/>
    </w:rPr>
  </w:style>
  <w:style w:type="paragraph" w:styleId="1454" w:customStyle="1">
    <w:name w:val="xl8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5" w:customStyle="1">
    <w:name w:val="xl108"/>
    <w:basedOn w:val="11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font14"/>
    <w:basedOn w:val="1145"/>
    <w:uiPriority w:val="0"/>
    <w:qFormat/>
    <w:pPr>
      <w:jc w:val="left"/>
      <w:spacing w:before="100" w:beforeAutospacing="1" w:after="100" w:afterAutospacing="1"/>
      <w:widowControl/>
    </w:pPr>
    <w:rPr>
      <w:rFonts w:ascii="宋体" w:hAnsi="宋体" w:cs="宋体"/>
      <w:color w:val="000000"/>
      <w:szCs w:val="21"/>
    </w:rPr>
  </w:style>
  <w:style w:type="paragraph" w:styleId="1457" w:customStyle="1">
    <w:name w:val="font9"/>
    <w:basedOn w:val="1145"/>
    <w:uiPriority w:val="0"/>
    <w:qFormat/>
    <w:pPr>
      <w:jc w:val="left"/>
      <w:spacing w:before="100" w:beforeAutospacing="1" w:after="100" w:afterAutospacing="1"/>
      <w:widowControl/>
    </w:pPr>
    <w:rPr>
      <w:rFonts w:ascii="宋体" w:hAnsi="宋体" w:cs="宋体"/>
      <w:color w:val="000000"/>
      <w:szCs w:val="21"/>
    </w:rPr>
  </w:style>
  <w:style w:type="paragraph" w:styleId="1458" w:customStyle="1">
    <w:name w:val="xl99"/>
    <w:basedOn w:val="11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59" w:customStyle="1">
    <w:name w:val="xl105"/>
    <w:basedOn w:val="1145"/>
    <w:uiPriority w:val="0"/>
    <w:qFormat/>
    <w:pPr>
      <w:jc w:val="left"/>
      <w:spacing w:before="100" w:beforeAutospacing="1" w:after="100" w:afterAutospacing="1"/>
      <w:widowControl/>
    </w:pPr>
    <w:rPr>
      <w:rFonts w:ascii="宋体" w:hAnsi="宋体" w:cs="宋体"/>
      <w:sz w:val="20"/>
      <w:szCs w:val="20"/>
    </w:rPr>
  </w:style>
  <w:style w:type="paragraph" w:styleId="1460" w:customStyle="1">
    <w:name w:val="xl79"/>
    <w:basedOn w:val="11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61" w:customStyle="1">
    <w:name w:val="xl80"/>
    <w:basedOn w:val="11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62" w:customStyle="1">
    <w:name w:val="Char1"/>
    <w:basedOn w:val="1145"/>
    <w:uiPriority w:val="0"/>
    <w:qFormat/>
    <w:pPr>
      <w:jc w:val="left"/>
      <w:spacing w:after="160" w:line="240" w:lineRule="exact"/>
      <w:widowControl/>
    </w:pPr>
    <w:rPr>
      <w:rFonts w:ascii="Verdana" w:hAnsi="Verdana" w:eastAsia="宋体" w:cs="Verdana"/>
      <w:sz w:val="18"/>
      <w:szCs w:val="18"/>
      <w:lang w:eastAsia="en-US"/>
    </w:rPr>
  </w:style>
  <w:style w:type="paragraph" w:styleId="1463" w:customStyle="1">
    <w:name w:val="xl87"/>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64" w:customStyle="1">
    <w:name w:val="xl94"/>
    <w:basedOn w:val="114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65" w:customStyle="1">
    <w:name w:val="xl97"/>
    <w:basedOn w:val="1145"/>
    <w:uiPriority w:val="0"/>
    <w:qFormat/>
    <w:pPr>
      <w:jc w:val="left"/>
      <w:spacing w:before="100" w:beforeAutospacing="1" w:after="100" w:afterAutospacing="1"/>
      <w:widowControl/>
    </w:pPr>
    <w:rPr>
      <w:rFonts w:ascii="宋体" w:hAnsi="宋体" w:cs="宋体"/>
      <w:szCs w:val="21"/>
    </w:rPr>
  </w:style>
  <w:style w:type="paragraph" w:styleId="1466" w:customStyle="1">
    <w:name w:val="TOC 标题2"/>
    <w:basedOn w:val="1348"/>
    <w:next w:val="1145"/>
    <w:uiPriority w:val="39"/>
    <w:qFormat/>
    <w:pPr>
      <w:jc w:val="left"/>
      <w:spacing w:before="480" w:after="0" w:line="276" w:lineRule="auto"/>
      <w:widowControl/>
      <w:outlineLvl w:val="9"/>
    </w:pPr>
    <w:rPr>
      <w:rFonts w:ascii="Cambria" w:hAnsi="Cambria"/>
      <w:color w:val="365f91"/>
      <w:sz w:val="28"/>
      <w:szCs w:val="28"/>
    </w:rPr>
  </w:style>
  <w:style w:type="paragraph" w:styleId="1467" w:customStyle="1">
    <w:name w:val="font7"/>
    <w:basedOn w:val="1145"/>
    <w:uiPriority w:val="0"/>
    <w:qFormat/>
    <w:pPr>
      <w:jc w:val="left"/>
      <w:spacing w:before="100" w:beforeAutospacing="1" w:after="100" w:afterAutospacing="1"/>
      <w:widowControl/>
    </w:pPr>
    <w:rPr>
      <w:b/>
      <w:bCs/>
      <w:color w:val="000000"/>
      <w:szCs w:val="21"/>
    </w:rPr>
  </w:style>
  <w:style w:type="paragraph" w:styleId="1468" w:customStyle="1">
    <w:name w:val="xl6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9" w:customStyle="1">
    <w:name w:val="xl100"/>
    <w:basedOn w:val="11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70" w:customStyle="1">
    <w:name w:val="xl106"/>
    <w:basedOn w:val="114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71">
    <w:name w:val="List Paragraph"/>
    <w:basedOn w:val="1145"/>
    <w:uiPriority w:val="34"/>
    <w:qFormat/>
    <w:pPr>
      <w:ind w:firstLine="420"/>
    </w:pPr>
    <w:rPr>
      <w:rFonts w:ascii="Calibri" w:hAnsi="Calibri"/>
    </w:rPr>
  </w:style>
  <w:style w:type="paragraph" w:styleId="1472" w:customStyle="1">
    <w:name w:val="段"/>
    <w:uiPriority w:val="0"/>
    <w:qFormat/>
    <w:pPr>
      <w:ind w:firstLine="200"/>
      <w:jc w:val="both"/>
    </w:pPr>
    <w:rPr>
      <w:rFonts w:ascii="宋体" w:hAnsi="Times New Roman" w:eastAsia="宋体" w:cs="宋体"/>
      <w:sz w:val="21"/>
      <w:szCs w:val="21"/>
      <w:lang w:val="en-US" w:eastAsia="zh-CN" w:bidi="ar-SA"/>
    </w:rPr>
  </w:style>
  <w:style w:type="paragraph" w:styleId="1473" w:customStyle="1">
    <w:name w:val="font11"/>
    <w:basedOn w:val="1145"/>
    <w:uiPriority w:val="0"/>
    <w:qFormat/>
    <w:pPr>
      <w:jc w:val="left"/>
      <w:spacing w:before="100" w:beforeAutospacing="1" w:after="100" w:afterAutospacing="1"/>
      <w:widowControl/>
    </w:pPr>
    <w:rPr>
      <w:rFonts w:ascii="宋体" w:hAnsi="宋体" w:cs="宋体"/>
      <w:color w:val="000000"/>
      <w:sz w:val="18"/>
      <w:szCs w:val="18"/>
    </w:rPr>
  </w:style>
  <w:style w:type="paragraph" w:styleId="1474" w:customStyle="1">
    <w:name w:val="xl75"/>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75" w:customStyle="1">
    <w:name w:val="xl77"/>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6" w:customStyle="1">
    <w:name w:val="列出段落3"/>
    <w:basedOn w:val="1145"/>
    <w:uiPriority w:val="34"/>
    <w:qFormat/>
    <w:pPr>
      <w:ind w:firstLine="200"/>
      <w:spacing w:line="360" w:lineRule="auto"/>
      <w:widowControl/>
    </w:pPr>
    <w:rPr>
      <w:rFonts w:ascii="Calibri" w:hAnsi="Calibri"/>
      <w:sz w:val="24"/>
    </w:rPr>
  </w:style>
  <w:style w:type="paragraph" w:styleId="1477" w:customStyle="1">
    <w:name w:val="前言、引言标题"/>
    <w:next w:val="1145"/>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78" w:customStyle="1">
    <w:name w:val="xl95"/>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79" w:customStyle="1">
    <w:name w:val="xl84"/>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80" w:customStyle="1">
    <w:name w:val="font8"/>
    <w:basedOn w:val="1145"/>
    <w:uiPriority w:val="0"/>
    <w:qFormat/>
    <w:pPr>
      <w:jc w:val="left"/>
      <w:spacing w:before="100" w:beforeAutospacing="1" w:after="100" w:afterAutospacing="1"/>
      <w:widowControl/>
    </w:pPr>
    <w:rPr>
      <w:rFonts w:ascii="宋体" w:hAnsi="宋体" w:cs="宋体"/>
      <w:b/>
      <w:bCs/>
      <w:color w:val="000000"/>
      <w:szCs w:val="21"/>
    </w:rPr>
  </w:style>
  <w:style w:type="paragraph" w:styleId="1481" w:customStyle="1">
    <w:name w:val="List Paragraph1"/>
    <w:basedOn w:val="1145"/>
    <w:uiPriority w:val="34"/>
    <w:qFormat/>
    <w:pPr>
      <w:ind w:firstLine="420"/>
    </w:pPr>
    <w:rPr>
      <w:rFonts w:ascii="Calibri" w:hAnsi="Calibri" w:eastAsia="宋体"/>
    </w:rPr>
  </w:style>
  <w:style w:type="paragraph" w:styleId="1482"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83" w:customStyle="1">
    <w:name w:val="xl104"/>
    <w:basedOn w:val="11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4" w:customStyle="1">
    <w:name w:val="程序1"/>
    <w:next w:val="1145"/>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85"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86" w:customStyle="1">
    <w:name w:val="正文 A"/>
    <w:next w:val="1487"/>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87" w:customStyle="1">
    <w:name w:val="索引 41"/>
    <w:next w:val="1486"/>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88" w:customStyle="1">
    <w:name w:val="xl68"/>
    <w:basedOn w:val="11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9"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90" w:customStyle="1">
    <w:name w:val="xl91"/>
    <w:basedOn w:val="11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91" w:customStyle="1">
    <w:name w:val="Table Paragraph"/>
    <w:basedOn w:val="1145"/>
    <w:uiPriority w:val="1"/>
    <w:qFormat/>
    <w:rPr>
      <w:rFonts w:ascii="宋体" w:hAnsi="宋体" w:eastAsia="宋体" w:cs="宋体"/>
      <w:lang w:val="zh-CN" w:bidi="zh-CN"/>
    </w:rPr>
  </w:style>
  <w:style w:type="paragraph" w:styleId="1492" w:customStyle="1">
    <w:name w:val="xl9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93" w:customStyle="1">
    <w:name w:val="xl88"/>
    <w:basedOn w:val="114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94" w:customStyle="1">
    <w:name w:val="xl85"/>
    <w:basedOn w:val="11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95"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496"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497" w:customStyle="1">
    <w:name w:val="注："/>
    <w:next w:val="1145"/>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498" w:customStyle="1">
    <w:name w:val="xl89"/>
    <w:basedOn w:val="11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99" w:customStyle="1">
    <w:name w:val="reader-word-layer"/>
    <w:basedOn w:val="1145"/>
    <w:uiPriority w:val="0"/>
    <w:qFormat/>
    <w:pPr>
      <w:jc w:val="left"/>
      <w:spacing w:before="100" w:beforeAutospacing="1" w:after="100" w:afterAutospacing="1"/>
      <w:widowControl/>
    </w:pPr>
    <w:rPr>
      <w:rFonts w:ascii="宋体" w:hAnsi="宋体" w:cs="宋体"/>
      <w:sz w:val="24"/>
      <w:szCs w:val="24"/>
    </w:rPr>
  </w:style>
  <w:style w:type="paragraph" w:styleId="1500" w:customStyle="1">
    <w:name w:val="Char11"/>
    <w:basedOn w:val="1145"/>
    <w:uiPriority w:val="0"/>
    <w:qFormat/>
    <w:rPr>
      <w:rFonts w:ascii="仿宋_GB2312" w:eastAsia="仿宋_GB2312"/>
      <w:b/>
      <w:sz w:val="32"/>
      <w:szCs w:val="32"/>
    </w:rPr>
  </w:style>
  <w:style w:type="paragraph" w:styleId="1501" w:customStyle="1">
    <w:name w:val="xl83"/>
    <w:basedOn w:val="114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02" w:customStyle="1">
    <w:name w:val="_Style 191"/>
    <w:basedOn w:val="1145"/>
    <w:next w:val="1439"/>
    <w:uiPriority w:val="34"/>
    <w:qFormat/>
    <w:pPr>
      <w:ind w:firstLine="420"/>
      <w:jc w:val="left"/>
      <w:spacing w:after="200"/>
      <w:widowControl/>
    </w:pPr>
    <w:rPr>
      <w:rFonts w:ascii="Tahoma" w:hAnsi="Tahoma"/>
      <w:sz w:val="22"/>
    </w:rPr>
  </w:style>
  <w:style w:type="paragraph" w:styleId="1503" w:customStyle="1">
    <w:name w:val="xl71"/>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4" w:customStyle="1">
    <w:name w:val="列出段落11"/>
    <w:basedOn w:val="1145"/>
    <w:uiPriority w:val="34"/>
    <w:qFormat/>
    <w:pPr>
      <w:ind w:firstLine="420"/>
      <w:spacing w:before="156" w:after="156" w:line="360" w:lineRule="auto"/>
    </w:pPr>
    <w:rPr>
      <w:rFonts w:ascii="Calibri" w:hAnsi="Calibri" w:cs="Calibri"/>
      <w:lang w:eastAsia="ar-SA"/>
    </w:rPr>
  </w:style>
  <w:style w:type="paragraph" w:styleId="1505" w:customStyle="1">
    <w:name w:val="章标题"/>
    <w:next w:val="1145"/>
    <w:uiPriority w:val="0"/>
    <w:qFormat/>
    <w:pPr>
      <w:jc w:val="both"/>
      <w:outlineLvl w:val="1"/>
    </w:pPr>
    <w:rPr>
      <w:rFonts w:ascii="黑体" w:hAnsi="Times New Roman" w:eastAsia="黑体" w:cs="黑体"/>
      <w:sz w:val="21"/>
      <w:szCs w:val="21"/>
      <w:lang w:val="en-US" w:eastAsia="zh-CN" w:bidi="ar-SA"/>
    </w:rPr>
  </w:style>
  <w:style w:type="paragraph" w:styleId="1506" w:customStyle="1">
    <w:name w:val="xl82"/>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07" w:customStyle="1">
    <w:name w:val="xl72"/>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8" w:customStyle="1">
    <w:name w:val="font12"/>
    <w:basedOn w:val="1145"/>
    <w:uiPriority w:val="0"/>
    <w:qFormat/>
    <w:pPr>
      <w:jc w:val="left"/>
      <w:spacing w:before="100" w:beforeAutospacing="1" w:after="100" w:afterAutospacing="1"/>
      <w:widowControl/>
    </w:pPr>
    <w:rPr>
      <w:rFonts w:ascii="宋体" w:hAnsi="宋体" w:cs="宋体"/>
      <w:color w:val="000000"/>
      <w:sz w:val="20"/>
      <w:szCs w:val="20"/>
    </w:rPr>
  </w:style>
  <w:style w:type="paragraph" w:styleId="1509" w:customStyle="1">
    <w:name w:val="Char"/>
    <w:basedOn w:val="1145"/>
    <w:uiPriority w:val="0"/>
    <w:qFormat/>
    <w:pPr>
      <w:jc w:val="left"/>
      <w:spacing w:after="160" w:line="240" w:lineRule="exact"/>
      <w:widowControl/>
    </w:pPr>
    <w:rPr>
      <w:rFonts w:ascii="Verdana" w:hAnsi="Verdana" w:eastAsia="宋体" w:cs="Verdana"/>
      <w:sz w:val="18"/>
      <w:szCs w:val="18"/>
      <w:lang w:eastAsia="en-US"/>
    </w:rPr>
  </w:style>
  <w:style w:type="paragraph" w:styleId="1510" w:customStyle="1">
    <w:name w:val="font10"/>
    <w:basedOn w:val="1145"/>
    <w:uiPriority w:val="0"/>
    <w:qFormat/>
    <w:pPr>
      <w:jc w:val="left"/>
      <w:spacing w:before="100" w:beforeAutospacing="1" w:after="100" w:afterAutospacing="1"/>
      <w:widowControl/>
    </w:pPr>
    <w:rPr>
      <w:rFonts w:ascii="宋体" w:hAnsi="宋体" w:cs="宋体"/>
      <w:color w:val="000000"/>
      <w:sz w:val="22"/>
    </w:rPr>
  </w:style>
  <w:style w:type="paragraph" w:styleId="1511" w:customStyle="1">
    <w:name w:val="xl109"/>
    <w:basedOn w:val="114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12" w:customStyle="1">
    <w:name w:val="xl103"/>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13" w:customStyle="1">
    <w:name w:val="xl102"/>
    <w:basedOn w:val="11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4" w:customStyle="1">
    <w:name w:val="xl65"/>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15" w:customStyle="1">
    <w:name w:val="xl93"/>
    <w:basedOn w:val="11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16" w:customStyle="1">
    <w:name w:val="BodyText1I21"/>
    <w:basedOn w:val="1444"/>
    <w:next w:val="1145"/>
    <w:uiPriority w:val="0"/>
    <w:qFormat/>
    <w:pPr>
      <w:ind w:firstLine="420"/>
    </w:pPr>
    <w:rPr>
      <w:rFonts w:ascii="Calibri" w:hAnsi="Calibri"/>
    </w:rPr>
  </w:style>
  <w:style w:type="paragraph" w:styleId="1517"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18" w:customStyle="1">
    <w:name w:val="xl107"/>
    <w:basedOn w:val="114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19" w:customStyle="1">
    <w:name w:val="xl73"/>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0"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21" w:customStyle="1">
    <w:name w:val="xl90"/>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22" w:customStyle="1">
    <w:name w:val="font13"/>
    <w:basedOn w:val="1145"/>
    <w:uiPriority w:val="0"/>
    <w:qFormat/>
    <w:pPr>
      <w:jc w:val="left"/>
      <w:spacing w:before="100" w:beforeAutospacing="1" w:after="100" w:afterAutospacing="1"/>
      <w:widowControl/>
    </w:pPr>
    <w:rPr>
      <w:rFonts w:ascii="宋体" w:hAnsi="宋体" w:cs="宋体"/>
      <w:sz w:val="18"/>
      <w:szCs w:val="18"/>
    </w:rPr>
  </w:style>
  <w:style w:type="paragraph" w:styleId="1523" w:customStyle="1">
    <w:name w:val="xl81"/>
    <w:basedOn w:val="1145"/>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24" w:customStyle="1">
    <w:name w:val="xl69"/>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5" w:customStyle="1">
    <w:name w:val="五级条标题"/>
    <w:basedOn w:val="1429"/>
    <w:next w:val="1145"/>
    <w:uiPriority w:val="0"/>
    <w:qFormat/>
    <w:pPr>
      <w:outlineLvl w:val="6"/>
    </w:pPr>
  </w:style>
  <w:style w:type="paragraph" w:styleId="1526" w:customStyle="1">
    <w:name w:val="xl110"/>
    <w:basedOn w:val="114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27" w:customStyle="1">
    <w:name w:val="xl101"/>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28"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29" w:customStyle="1">
    <w:name w:val="未处理的提及1"/>
    <w:uiPriority w:val="99"/>
    <w:unhideWhenUsed/>
    <w:qFormat/>
    <w:rPr>
      <w:color w:val="605e5c"/>
      <w:shd w:val="clear" w:color="auto" w:fill="e1dfdd"/>
    </w:rPr>
  </w:style>
  <w:style w:type="paragraph" w:styleId="1530" w:customStyle="1">
    <w:name w:val="样式5"/>
    <w:basedOn w:val="1361"/>
    <w:uiPriority w:val="1"/>
    <w:qFormat/>
    <w:pPr>
      <w:numPr>
        <w:ilvl w:val="0"/>
        <w:numId w:val="5"/>
      </w:numPr>
      <w:ind w:firstLine="0"/>
      <w:jc w:val="left"/>
      <w:spacing w:line="360" w:lineRule="auto"/>
    </w:pPr>
    <w:rPr>
      <w:rFonts w:ascii="Arial" w:hAnsi="Arial" w:eastAsia="宋体"/>
      <w:szCs w:val="22"/>
    </w:rPr>
  </w:style>
  <w:style w:type="paragraph" w:styleId="1531" w:customStyle="1">
    <w:name w:val="样式2"/>
    <w:basedOn w:val="1145"/>
    <w:uiPriority w:val="0"/>
    <w:qFormat/>
    <w:pPr>
      <w:spacing w:line="410" w:lineRule="atLeast"/>
    </w:pPr>
    <w:rPr>
      <w:szCs w:val="20"/>
    </w:rPr>
  </w:style>
  <w:style w:type="paragraph" w:styleId="1532" w:customStyle="1">
    <w:name w:val="样式3"/>
    <w:basedOn w:val="1369"/>
    <w:uiPriority w:val="0"/>
    <w:qFormat/>
    <w:rPr>
      <w:rFonts w:hAnsi="宋体" w:cs="宋体"/>
      <w:szCs w:val="21"/>
    </w:rPr>
  </w:style>
  <w:style w:type="paragraph" w:styleId="1533" w:customStyle="1">
    <w:name w:val="样式6"/>
    <w:basedOn w:val="1361"/>
    <w:uiPriority w:val="1"/>
    <w:qFormat/>
    <w:pPr>
      <w:ind w:left="500" w:right="100"/>
      <w:jc w:val="left"/>
      <w:spacing w:line="360" w:lineRule="auto"/>
    </w:pPr>
    <w:rPr>
      <w:rFonts w:ascii="Arial" w:hAnsi="Arial" w:eastAsia="宋体"/>
      <w:szCs w:val="22"/>
    </w:rPr>
  </w:style>
  <w:style w:type="character" w:styleId="1534" w:customStyle="1">
    <w:name w:val="样式1 Char"/>
    <w:link w:val="1535"/>
    <w:uiPriority w:val="0"/>
    <w:qFormat/>
    <w:rPr>
      <w:rFonts w:ascii="宋体" w:hAnsi="宋体"/>
      <w:szCs w:val="21"/>
    </w:rPr>
  </w:style>
  <w:style w:type="paragraph" w:styleId="1535" w:customStyle="1">
    <w:name w:val="样式1"/>
    <w:basedOn w:val="1145"/>
    <w:link w:val="1534"/>
    <w:uiPriority w:val="0"/>
    <w:qFormat/>
    <w:pPr>
      <w:numPr>
        <w:ilvl w:val="0"/>
        <w:numId w:val="6"/>
      </w:numPr>
    </w:pPr>
    <w:rPr>
      <w:rFonts w:ascii="宋体" w:hAnsi="宋体"/>
      <w:szCs w:val="21"/>
    </w:rPr>
  </w:style>
  <w:style w:type="paragraph" w:styleId="1536" w:customStyle="1">
    <w:name w:val="List Paragraph2"/>
    <w:basedOn w:val="1145"/>
    <w:uiPriority w:val="0"/>
    <w:qFormat/>
    <w:pPr>
      <w:ind w:firstLine="420"/>
    </w:pPr>
    <w:rPr>
      <w:szCs w:val="20"/>
    </w:rPr>
  </w:style>
  <w:style w:type="paragraph" w:styleId="1537" w:customStyle="1">
    <w:name w:val="一级目录"/>
    <w:next w:val="1145"/>
    <w:uiPriority w:val="99"/>
    <w:qFormat/>
    <w:pPr>
      <w:jc w:val="center"/>
      <w:outlineLvl w:val="0"/>
    </w:pPr>
    <w:rPr>
      <w:rFonts w:ascii="黑体" w:hAnsi="Times New Roman" w:eastAsia="黑体" w:cs="Times New Roman"/>
      <w:b/>
      <w:sz w:val="44"/>
      <w:szCs w:val="22"/>
      <w:lang w:val="en-US" w:eastAsia="zh-CN" w:bidi="ar-SA"/>
    </w:rPr>
  </w:style>
  <w:style w:type="paragraph" w:styleId="1538" w:customStyle="1">
    <w:name w:val="标准文本"/>
    <w:basedOn w:val="1145"/>
    <w:uiPriority w:val="0"/>
    <w:qFormat/>
    <w:pPr>
      <w:ind w:firstLine="480"/>
      <w:spacing w:line="360" w:lineRule="auto"/>
    </w:pPr>
    <w:rPr>
      <w:rFonts w:eastAsia="Calibri" w:cs="宋体"/>
      <w:sz w:val="24"/>
      <w:lang w:val="zh-CN"/>
    </w:rPr>
  </w:style>
  <w:style w:type="paragraph" w:styleId="1539" w:customStyle="1">
    <w:name w:val="msolistparagraph"/>
    <w:basedOn w:val="1145"/>
    <w:uiPriority w:val="0"/>
    <w:qFormat/>
    <w:pPr>
      <w:ind w:firstLine="420"/>
    </w:pPr>
  </w:style>
  <w:style w:type="paragraph" w:styleId="1540" w:customStyle="1">
    <w:name w:val="样式 样式 首行缩进:  2 字符 + 行距: 1.5 倍行距"/>
    <w:basedOn w:val="1145"/>
    <w:uiPriority w:val="0"/>
    <w:qFormat/>
    <w:pPr>
      <w:ind w:firstLine="470"/>
      <w:spacing w:line="360" w:lineRule="auto"/>
    </w:pPr>
    <w:rPr>
      <w:rFonts w:eastAsia="Calibri" w:cs="宋体"/>
      <w:sz w:val="24"/>
      <w:szCs w:val="20"/>
      <w:lang w:val="zh-CN"/>
    </w:rPr>
  </w:style>
  <w:style w:type="paragraph" w:styleId="1541" w:customStyle="1">
    <w:name w:val="招标"/>
    <w:basedOn w:val="1145"/>
    <w:uiPriority w:val="0"/>
    <w:qFormat/>
    <w:pPr>
      <w:ind w:firstLine="420"/>
      <w:jc w:val="left"/>
      <w:spacing w:line="400" w:lineRule="exact"/>
    </w:pPr>
    <w:rPr>
      <w:rFonts w:ascii="宋体" w:hAnsi="宋体"/>
    </w:rPr>
  </w:style>
  <w:style w:type="character" w:styleId="1542" w:customStyle="1">
    <w:name w:val="16"/>
    <w:uiPriority w:val="0"/>
    <w:qFormat/>
    <w:rPr>
      <w:rFonts w:ascii="Calibri" w:hAnsi="Calibri" w:cs="Calibri"/>
    </w:rPr>
  </w:style>
  <w:style w:type="paragraph" w:styleId="1543" w:customStyle="1">
    <w:name w:val="普通正文"/>
    <w:basedOn w:val="1145"/>
    <w:uiPriority w:val="0"/>
    <w:qFormat/>
    <w:pPr>
      <w:ind w:firstLine="480"/>
      <w:spacing w:before="120" w:after="120"/>
    </w:pPr>
    <w:rPr>
      <w:rFonts w:ascii="Arial" w:hAnsi="Arial"/>
      <w:sz w:val="24"/>
      <w:szCs w:val="24"/>
    </w:rPr>
  </w:style>
  <w:style w:type="character" w:styleId="1544" w:customStyle="1">
    <w:name w:val="批注框文本 Char"/>
    <w:basedOn w:val="1155"/>
    <w:link w:val="1173"/>
    <w:uiPriority w:val="99"/>
    <w:semiHidden/>
    <w:qFormat/>
    <w:rPr>
      <w:rFonts w:eastAsia="微软雅黑"/>
      <w:sz w:val="18"/>
      <w:szCs w:val="18"/>
    </w:rPr>
  </w:style>
  <w:style w:type="numbering" w:styleId="1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徐雪</cp:lastModifiedBy>
  <cp:revision>12</cp:revision>
  <dcterms:created xsi:type="dcterms:W3CDTF">2026-05-11T07:04:00Z</dcterms:created>
  <dcterms:modified xsi:type="dcterms:W3CDTF">2026-05-13T05:32:57Z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B4AE2E68B0F14189960BE00805B3E3F1</vt:lpwstr>
  </property>
  <property fmtid="{D5CDD505-2E9C-101B-9397-08002B2CF9AE}" pid="4" name="KSOTemplateDocerSaveRecord">
    <vt:lpwstr>eyJoZGlkIjoiYjJjZjI0NGE2N2MzNTdmYjliY2RlOGI2NmQ1MGFlZDciLCJ1c2VySWQiOiI2MDM5MTE3NTYifQ==</vt:lpwstr>
  </property>
</Properties>
</file>